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E98" w:rsidRPr="00751FB6" w:rsidRDefault="00B66E98" w:rsidP="004E6046">
      <w:pPr>
        <w:pStyle w:val="Title"/>
        <w:jc w:val="center"/>
        <w:rPr>
          <w:rFonts w:ascii="Times New Roman" w:hAnsi="Times New Roman" w:cs="Times New Roman"/>
          <w:b/>
          <w:sz w:val="28"/>
        </w:rPr>
      </w:pPr>
      <w:r w:rsidRPr="00751FB6">
        <w:rPr>
          <w:rFonts w:ascii="Times New Roman" w:hAnsi="Times New Roman" w:cs="Times New Roman"/>
          <w:b/>
          <w:sz w:val="28"/>
        </w:rPr>
        <w:t xml:space="preserve">Detailed information on the State Health Care Programs of the Ministry of </w:t>
      </w:r>
      <w:r w:rsidR="004E6046" w:rsidRPr="00751FB6">
        <w:rPr>
          <w:rFonts w:ascii="Times New Roman" w:hAnsi="Times New Roman" w:cs="Times New Roman"/>
          <w:b/>
          <w:sz w:val="28"/>
        </w:rPr>
        <w:t xml:space="preserve">Internally Displaced Persons from the Occupied Territories, </w:t>
      </w:r>
      <w:r w:rsidRPr="00751FB6">
        <w:rPr>
          <w:rFonts w:ascii="Times New Roman" w:hAnsi="Times New Roman" w:cs="Times New Roman"/>
          <w:b/>
          <w:sz w:val="28"/>
        </w:rPr>
        <w:t>Labour, Health and Social Affairs of Georgia</w:t>
      </w:r>
    </w:p>
    <w:p w:rsidR="00B66E98" w:rsidRPr="004E6046" w:rsidRDefault="00B66E98" w:rsidP="004E6046">
      <w:pPr>
        <w:pStyle w:val="Heading1"/>
        <w:rPr>
          <w:rFonts w:ascii="Times New Roman" w:hAnsi="Times New Roman" w:cs="Times New Roman"/>
          <w:lang w:val="ka-GE"/>
        </w:rPr>
      </w:pPr>
      <w:r w:rsidRPr="004E6046">
        <w:rPr>
          <w:rFonts w:ascii="Times New Roman" w:hAnsi="Times New Roman" w:cs="Times New Roman"/>
          <w:lang w:val="ka-GE"/>
        </w:rPr>
        <w:t>Healthcare expenditures</w:t>
      </w:r>
    </w:p>
    <w:p w:rsidR="00B66E98" w:rsidRPr="004B2420" w:rsidRDefault="00B66E98" w:rsidP="00B66E98">
      <w:pPr>
        <w:pStyle w:val="ListParagraph"/>
        <w:spacing w:after="0" w:line="240" w:lineRule="auto"/>
        <w:ind w:left="360"/>
        <w:jc w:val="both"/>
        <w:rPr>
          <w:rFonts w:ascii="Times New Roman" w:eastAsia="Times New Roman" w:hAnsi="Times New Roman" w:cs="Times New Roman"/>
          <w:sz w:val="24"/>
          <w:szCs w:val="24"/>
        </w:rPr>
      </w:pPr>
    </w:p>
    <w:p w:rsidR="00B66E98" w:rsidRPr="004B2420" w:rsidRDefault="00B66E98"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lang w:val="ka-GE"/>
        </w:rPr>
        <w:t xml:space="preserve">Since 2013, the Government of Georgia has laid </w:t>
      </w:r>
      <w:r w:rsidR="000643AF" w:rsidRPr="004B2420">
        <w:rPr>
          <w:rFonts w:ascii="Times New Roman" w:hAnsi="Times New Roman" w:cs="Times New Roman"/>
          <w:sz w:val="24"/>
          <w:szCs w:val="24"/>
        </w:rPr>
        <w:t>a</w:t>
      </w:r>
      <w:r w:rsidR="000643AF" w:rsidRPr="004B2420">
        <w:rPr>
          <w:rFonts w:ascii="Times New Roman" w:hAnsi="Times New Roman" w:cs="Times New Roman"/>
          <w:sz w:val="24"/>
          <w:szCs w:val="24"/>
          <w:lang w:val="ka-GE"/>
        </w:rPr>
        <w:t xml:space="preserve"> </w:t>
      </w:r>
      <w:r w:rsidRPr="004B2420">
        <w:rPr>
          <w:rFonts w:ascii="Times New Roman" w:hAnsi="Times New Roman" w:cs="Times New Roman"/>
          <w:sz w:val="24"/>
          <w:szCs w:val="24"/>
          <w:lang w:val="ka-GE"/>
        </w:rPr>
        <w:t xml:space="preserve">solid foundation in public health and welfare oriented policy. </w:t>
      </w:r>
      <w:r w:rsidR="00083FE1" w:rsidRPr="004B2420">
        <w:rPr>
          <w:rFonts w:ascii="Times New Roman" w:hAnsi="Times New Roman" w:cs="Times New Roman"/>
          <w:sz w:val="24"/>
          <w:szCs w:val="24"/>
        </w:rPr>
        <w:t xml:space="preserve">The state budget allocations for the health care sector has substantially increased from Gel 450 million in 2012 to Gel 1112 Million in 2017. </w:t>
      </w:r>
    </w:p>
    <w:p w:rsidR="00B66E98" w:rsidRPr="004B2420" w:rsidRDefault="00F41CA3"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rPr>
        <w:t>The government expenditure</w:t>
      </w:r>
      <w:r w:rsidR="000643AF" w:rsidRPr="004B2420">
        <w:rPr>
          <w:rFonts w:ascii="Times New Roman" w:hAnsi="Times New Roman" w:cs="Times New Roman"/>
          <w:sz w:val="24"/>
          <w:szCs w:val="24"/>
        </w:rPr>
        <w:t>s</w:t>
      </w:r>
      <w:r w:rsidRPr="004B2420">
        <w:rPr>
          <w:rFonts w:ascii="Times New Roman" w:hAnsi="Times New Roman" w:cs="Times New Roman"/>
          <w:sz w:val="24"/>
          <w:szCs w:val="24"/>
        </w:rPr>
        <w:t xml:space="preserve"> on health as % of GDP has increased from 1.7% in 2012 to 3% in 2017. The government expenditure on health as % of state budget reached 8.5% in </w:t>
      </w:r>
      <w:r w:rsidR="001A41A1" w:rsidRPr="004B2420">
        <w:rPr>
          <w:rFonts w:ascii="Times New Roman" w:hAnsi="Times New Roman" w:cs="Times New Roman"/>
          <w:sz w:val="24"/>
          <w:szCs w:val="24"/>
        </w:rPr>
        <w:t>2017</w:t>
      </w:r>
      <w:r w:rsidR="001A41A1">
        <w:rPr>
          <w:rFonts w:ascii="Times New Roman" w:hAnsi="Times New Roman" w:cs="Times New Roman"/>
          <w:sz w:val="24"/>
          <w:szCs w:val="24"/>
        </w:rPr>
        <w:t xml:space="preserve"> that</w:t>
      </w:r>
      <w:r w:rsidRPr="004B2420">
        <w:rPr>
          <w:rFonts w:ascii="Times New Roman" w:hAnsi="Times New Roman" w:cs="Times New Roman"/>
          <w:sz w:val="24"/>
          <w:szCs w:val="24"/>
        </w:rPr>
        <w:t xml:space="preserve"> was a significant increase compared to 5.3% in 2012. </w:t>
      </w:r>
    </w:p>
    <w:p w:rsidR="00B66E98" w:rsidRPr="004B2420" w:rsidRDefault="00B66E98"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lang w:val="ka-GE"/>
        </w:rPr>
        <w:t xml:space="preserve">According to the </w:t>
      </w:r>
      <w:r w:rsidRPr="004B2420">
        <w:rPr>
          <w:rFonts w:ascii="Times New Roman" w:hAnsi="Times New Roman" w:cs="Times New Roman"/>
          <w:sz w:val="24"/>
          <w:szCs w:val="24"/>
        </w:rPr>
        <w:t>assessment</w:t>
      </w:r>
      <w:r w:rsidR="00F41CA3" w:rsidRPr="004B2420">
        <w:rPr>
          <w:rFonts w:ascii="Times New Roman" w:hAnsi="Times New Roman" w:cs="Times New Roman"/>
          <w:sz w:val="24"/>
          <w:szCs w:val="24"/>
        </w:rPr>
        <w:t>s</w:t>
      </w:r>
      <w:r w:rsidRPr="004B2420">
        <w:rPr>
          <w:rFonts w:ascii="Times New Roman" w:hAnsi="Times New Roman" w:cs="Times New Roman"/>
          <w:sz w:val="24"/>
          <w:szCs w:val="24"/>
        </w:rPr>
        <w:t xml:space="preserve"> of the </w:t>
      </w:r>
      <w:r w:rsidRPr="004B2420">
        <w:rPr>
          <w:rFonts w:ascii="Times New Roman" w:hAnsi="Times New Roman" w:cs="Times New Roman"/>
          <w:sz w:val="24"/>
          <w:szCs w:val="24"/>
          <w:lang w:val="ka-GE"/>
        </w:rPr>
        <w:t>World Health Organization and</w:t>
      </w:r>
      <w:r w:rsidRPr="004B2420">
        <w:rPr>
          <w:rFonts w:ascii="Times New Roman" w:hAnsi="Times New Roman" w:cs="Times New Roman"/>
          <w:sz w:val="24"/>
          <w:szCs w:val="24"/>
        </w:rPr>
        <w:t xml:space="preserve"> the</w:t>
      </w:r>
      <w:r w:rsidRPr="004B2420">
        <w:rPr>
          <w:rFonts w:ascii="Times New Roman" w:hAnsi="Times New Roman" w:cs="Times New Roman"/>
          <w:sz w:val="24"/>
          <w:szCs w:val="24"/>
          <w:lang w:val="ka-GE"/>
        </w:rPr>
        <w:t xml:space="preserve"> World Bank, by implementing efficient reforms, the country has improved access to health care and provided better financial protection.</w:t>
      </w:r>
    </w:p>
    <w:p w:rsidR="00F41CA3" w:rsidRPr="004B2420" w:rsidRDefault="00F41CA3"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rPr>
        <w:t xml:space="preserve">A </w:t>
      </w:r>
      <w:r w:rsidR="000643AF" w:rsidRPr="004B2420">
        <w:rPr>
          <w:rFonts w:ascii="Times New Roman" w:hAnsi="Times New Roman" w:cs="Times New Roman"/>
          <w:sz w:val="24"/>
          <w:szCs w:val="24"/>
        </w:rPr>
        <w:t>steady</w:t>
      </w:r>
      <w:r w:rsidRPr="004B2420">
        <w:rPr>
          <w:rFonts w:ascii="Times New Roman" w:hAnsi="Times New Roman" w:cs="Times New Roman"/>
          <w:sz w:val="24"/>
          <w:szCs w:val="24"/>
        </w:rPr>
        <w:t xml:space="preserve"> growth in utilization of medical services </w:t>
      </w:r>
      <w:r w:rsidR="000643AF" w:rsidRPr="004B2420">
        <w:rPr>
          <w:rFonts w:ascii="Times New Roman" w:hAnsi="Times New Roman" w:cs="Times New Roman"/>
          <w:sz w:val="24"/>
          <w:szCs w:val="24"/>
        </w:rPr>
        <w:t xml:space="preserve">was observed, </w:t>
      </w:r>
      <w:r w:rsidRPr="004B2420">
        <w:rPr>
          <w:rFonts w:ascii="Times New Roman" w:hAnsi="Times New Roman" w:cs="Times New Roman"/>
          <w:sz w:val="24"/>
          <w:szCs w:val="24"/>
        </w:rPr>
        <w:t xml:space="preserve">coupled with significant increase in </w:t>
      </w:r>
      <w:bookmarkStart w:id="0" w:name="_GoBack"/>
      <w:bookmarkEnd w:id="0"/>
      <w:r w:rsidR="001A41A1" w:rsidRPr="004B2420">
        <w:rPr>
          <w:rFonts w:ascii="Times New Roman" w:hAnsi="Times New Roman" w:cs="Times New Roman"/>
          <w:sz w:val="24"/>
          <w:szCs w:val="24"/>
        </w:rPr>
        <w:t>populations’</w:t>
      </w:r>
      <w:r w:rsidRPr="004B2420">
        <w:rPr>
          <w:rFonts w:ascii="Times New Roman" w:hAnsi="Times New Roman" w:cs="Times New Roman"/>
          <w:sz w:val="24"/>
          <w:szCs w:val="24"/>
        </w:rPr>
        <w:t xml:space="preserve"> satisfaction with medical services. </w:t>
      </w:r>
    </w:p>
    <w:p w:rsidR="00B66E98" w:rsidRPr="004E6046" w:rsidRDefault="00B66E98" w:rsidP="004E6046">
      <w:pPr>
        <w:spacing w:after="0" w:line="240" w:lineRule="auto"/>
        <w:jc w:val="both"/>
        <w:rPr>
          <w:rFonts w:ascii="Times New Roman" w:hAnsi="Times New Roman" w:cs="Times New Roman"/>
          <w:sz w:val="24"/>
          <w:szCs w:val="24"/>
        </w:rPr>
      </w:pPr>
    </w:p>
    <w:p w:rsidR="00B66E98" w:rsidRPr="004B2420" w:rsidRDefault="00B66E98" w:rsidP="00B66E98">
      <w:pPr>
        <w:spacing w:after="0" w:line="240" w:lineRule="auto"/>
        <w:jc w:val="right"/>
        <w:rPr>
          <w:rFonts w:ascii="Times New Roman" w:hAnsi="Times New Roman" w:cs="Times New Roman"/>
          <w:i/>
          <w:sz w:val="18"/>
          <w:szCs w:val="18"/>
          <w:lang w:val="ka-GE"/>
        </w:rPr>
      </w:pPr>
      <w:r w:rsidRPr="004B2420">
        <w:rPr>
          <w:rFonts w:ascii="Times New Roman" w:hAnsi="Times New Roman" w:cs="Times New Roman"/>
          <w:i/>
          <w:sz w:val="18"/>
          <w:szCs w:val="18"/>
        </w:rPr>
        <w:t xml:space="preserve">Trends of Government Expenditure on Health </w:t>
      </w:r>
    </w:p>
    <w:p w:rsidR="00B66E98" w:rsidRPr="004B2420" w:rsidRDefault="00B66E98" w:rsidP="00B66E98">
      <w:pPr>
        <w:spacing w:after="0" w:line="240" w:lineRule="auto"/>
        <w:jc w:val="center"/>
        <w:rPr>
          <w:rFonts w:ascii="Times New Roman" w:hAnsi="Times New Roman" w:cs="Times New Roman"/>
          <w:lang w:val="ka-GE"/>
        </w:rPr>
      </w:pPr>
      <w:r w:rsidRPr="004B2420">
        <w:rPr>
          <w:rFonts w:ascii="Times New Roman" w:hAnsi="Times New Roman" w:cs="Times New Roman"/>
          <w:noProof/>
        </w:rPr>
        <w:drawing>
          <wp:inline distT="0" distB="0" distL="0" distR="0">
            <wp:extent cx="5826579" cy="2868386"/>
            <wp:effectExtent l="19050" t="0" r="21771" b="8164"/>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43B5" w:rsidRDefault="00F543B5" w:rsidP="00B66E98">
      <w:pPr>
        <w:spacing w:after="0" w:line="240" w:lineRule="auto"/>
        <w:jc w:val="both"/>
        <w:rPr>
          <w:rFonts w:ascii="Times New Roman" w:hAnsi="Times New Roman" w:cs="Times New Roman"/>
          <w:sz w:val="18"/>
          <w:szCs w:val="18"/>
        </w:rPr>
      </w:pPr>
    </w:p>
    <w:p w:rsidR="00B66E98" w:rsidRPr="004B2420" w:rsidRDefault="00B66E98" w:rsidP="00B66E98">
      <w:pPr>
        <w:spacing w:after="0" w:line="240" w:lineRule="auto"/>
        <w:jc w:val="both"/>
        <w:rPr>
          <w:rFonts w:ascii="Times New Roman" w:hAnsi="Times New Roman" w:cs="Times New Roman"/>
          <w:sz w:val="18"/>
          <w:szCs w:val="18"/>
        </w:rPr>
      </w:pPr>
      <w:r w:rsidRPr="004B2420">
        <w:rPr>
          <w:rFonts w:ascii="Times New Roman" w:hAnsi="Times New Roman" w:cs="Times New Roman"/>
          <w:sz w:val="18"/>
          <w:szCs w:val="18"/>
        </w:rPr>
        <w:t>Source: MoLHSA, NHA</w:t>
      </w:r>
    </w:p>
    <w:p w:rsidR="00B66E98" w:rsidRPr="004B2420" w:rsidRDefault="00B66E98" w:rsidP="00B66E98">
      <w:pPr>
        <w:ind w:left="360"/>
        <w:jc w:val="both"/>
        <w:rPr>
          <w:rFonts w:ascii="Times New Roman" w:hAnsi="Times New Roman" w:cs="Times New Roman"/>
          <w:lang w:val="ka-GE"/>
        </w:rPr>
      </w:pPr>
    </w:p>
    <w:p w:rsidR="00B66E98" w:rsidRPr="004B2420" w:rsidRDefault="00B66E98" w:rsidP="00B66E98">
      <w:pPr>
        <w:jc w:val="both"/>
        <w:rPr>
          <w:rFonts w:ascii="Times New Roman" w:hAnsi="Times New Roman" w:cs="Times New Roman"/>
          <w:sz w:val="18"/>
          <w:szCs w:val="18"/>
          <w:lang w:val="ka-GE"/>
        </w:rPr>
      </w:pPr>
    </w:p>
    <w:p w:rsidR="00B66E98" w:rsidRPr="004B2420" w:rsidRDefault="00B66E98" w:rsidP="006049AC">
      <w:pPr>
        <w:jc w:val="center"/>
        <w:rPr>
          <w:rFonts w:ascii="Times New Roman" w:hAnsi="Times New Roman" w:cs="Times New Roman"/>
          <w:lang w:val="ka-GE"/>
        </w:rPr>
      </w:pPr>
      <w:r w:rsidRPr="004B2420">
        <w:rPr>
          <w:rFonts w:ascii="Times New Roman" w:hAnsi="Times New Roman" w:cs="Times New Roman"/>
          <w:i/>
          <w:sz w:val="18"/>
          <w:szCs w:val="18"/>
        </w:rPr>
        <w:lastRenderedPageBreak/>
        <w:t xml:space="preserve">Government Expenditure on Health per Capita </w:t>
      </w:r>
      <w:r w:rsidRPr="004B2420">
        <w:rPr>
          <w:rFonts w:ascii="Times New Roman" w:hAnsi="Times New Roman" w:cs="Times New Roman"/>
          <w:i/>
          <w:sz w:val="18"/>
          <w:szCs w:val="18"/>
          <w:lang w:val="ka-GE"/>
        </w:rPr>
        <w:t>(</w:t>
      </w:r>
      <w:r w:rsidRPr="004B2420">
        <w:rPr>
          <w:rFonts w:ascii="Times New Roman" w:hAnsi="Times New Roman" w:cs="Times New Roman"/>
          <w:i/>
          <w:sz w:val="18"/>
          <w:szCs w:val="18"/>
        </w:rPr>
        <w:t>GEL</w:t>
      </w:r>
      <w:r w:rsidRPr="004B2420">
        <w:rPr>
          <w:rFonts w:ascii="Times New Roman" w:hAnsi="Times New Roman" w:cs="Times New Roman"/>
          <w:i/>
          <w:sz w:val="18"/>
          <w:szCs w:val="18"/>
          <w:lang w:val="ka-GE"/>
        </w:rPr>
        <w:t xml:space="preserve">), </w:t>
      </w:r>
      <w:r w:rsidRPr="004B2420">
        <w:rPr>
          <w:rFonts w:ascii="Times New Roman" w:hAnsi="Times New Roman" w:cs="Times New Roman"/>
          <w:i/>
          <w:sz w:val="18"/>
          <w:szCs w:val="18"/>
        </w:rPr>
        <w:t>Georgia</w:t>
      </w:r>
      <w:r w:rsidRPr="004B2420">
        <w:rPr>
          <w:rFonts w:ascii="Times New Roman" w:hAnsi="Times New Roman" w:cs="Times New Roman"/>
          <w:noProof/>
        </w:rPr>
        <w:drawing>
          <wp:inline distT="0" distB="0" distL="0" distR="0">
            <wp:extent cx="4843417" cy="2394857"/>
            <wp:effectExtent l="19050" t="0" r="14333" b="5443"/>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6E98" w:rsidRPr="004E6046" w:rsidRDefault="00B66E98" w:rsidP="004E6046">
      <w:pPr>
        <w:spacing w:after="0" w:line="240" w:lineRule="auto"/>
        <w:jc w:val="both"/>
        <w:rPr>
          <w:rFonts w:ascii="Times New Roman" w:hAnsi="Times New Roman" w:cs="Times New Roman"/>
          <w:sz w:val="18"/>
          <w:szCs w:val="18"/>
        </w:rPr>
      </w:pPr>
      <w:r w:rsidRPr="004B2420">
        <w:rPr>
          <w:rFonts w:ascii="Times New Roman" w:hAnsi="Times New Roman" w:cs="Times New Roman"/>
          <w:sz w:val="18"/>
          <w:szCs w:val="18"/>
        </w:rPr>
        <w:t>Source: MoLHSA, NHA</w:t>
      </w:r>
    </w:p>
    <w:p w:rsidR="00B66E98" w:rsidRPr="004E6046" w:rsidRDefault="00B66E98" w:rsidP="004E6046">
      <w:pPr>
        <w:pStyle w:val="Heading1"/>
        <w:rPr>
          <w:rFonts w:ascii="Times New Roman" w:hAnsi="Times New Roman" w:cs="Times New Roman"/>
          <w:lang w:val="ka-GE"/>
        </w:rPr>
      </w:pPr>
      <w:r w:rsidRPr="004E6046">
        <w:rPr>
          <w:rFonts w:ascii="Times New Roman" w:hAnsi="Times New Roman" w:cs="Times New Roman"/>
          <w:lang w:val="ka-GE"/>
        </w:rPr>
        <w:t xml:space="preserve">Universal Health </w:t>
      </w:r>
      <w:r w:rsidRPr="004E6046">
        <w:rPr>
          <w:rFonts w:ascii="Times New Roman" w:hAnsi="Times New Roman" w:cs="Times New Roman"/>
        </w:rPr>
        <w:t>Care</w:t>
      </w:r>
      <w:r w:rsidRPr="004E6046">
        <w:rPr>
          <w:rFonts w:ascii="Times New Roman" w:hAnsi="Times New Roman" w:cs="Times New Roman"/>
          <w:lang w:val="ka-GE"/>
        </w:rPr>
        <w:t> (UHC) Program</w:t>
      </w:r>
    </w:p>
    <w:p w:rsidR="00B66E98" w:rsidRPr="004B2420" w:rsidRDefault="00B66E98" w:rsidP="00B66E98">
      <w:pPr>
        <w:pStyle w:val="ListParagraph"/>
        <w:spacing w:after="0" w:line="240" w:lineRule="auto"/>
        <w:ind w:left="360"/>
        <w:jc w:val="both"/>
        <w:rPr>
          <w:rFonts w:ascii="Times New Roman" w:hAnsi="Times New Roman" w:cs="Times New Roman"/>
          <w:b/>
          <w:bCs/>
          <w:sz w:val="24"/>
          <w:szCs w:val="24"/>
          <w:shd w:val="clear" w:color="auto" w:fill="FFFFFF"/>
        </w:rPr>
      </w:pP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sz w:val="24"/>
          <w:szCs w:val="24"/>
        </w:rPr>
        <w:t xml:space="preserve">Since February 2013 Universal Health Care (UHC) program is being implemented, which envisages </w:t>
      </w:r>
      <w:r w:rsidRPr="004B2420">
        <w:rPr>
          <w:rFonts w:ascii="Times New Roman" w:hAnsi="Times New Roman" w:cs="Times New Roman"/>
          <w:bCs/>
          <w:sz w:val="24"/>
          <w:szCs w:val="24"/>
          <w:shd w:val="clear" w:color="auto" w:fill="FFFFFF"/>
        </w:rPr>
        <w:t>universal access to healthcare services for all citizens of Georgia;</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According to the WHO European Health Report, 2015, Universal Healthcare Program was recognized as a successful reform.</w:t>
      </w:r>
    </w:p>
    <w:p w:rsidR="00812AC6" w:rsidRPr="004B2420" w:rsidRDefault="00812AC6" w:rsidP="00812AC6">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Universal Health Care Program covers – planned ambulatory care, emergency outpatient and inpatient care, elective surgery, cardio surgery, chemo-radio-hormone therapy, delivery and C-section, infectious diseases</w:t>
      </w:r>
    </w:p>
    <w:p w:rsidR="00812AC6" w:rsidRPr="004B2420" w:rsidRDefault="00812AC6" w:rsidP="00812AC6">
      <w:pPr>
        <w:pStyle w:val="HTMLPreformatted"/>
        <w:numPr>
          <w:ilvl w:val="0"/>
          <w:numId w:val="3"/>
        </w:numPr>
        <w:shd w:val="clear" w:color="auto" w:fill="FFFFFF"/>
        <w:jc w:val="both"/>
        <w:rPr>
          <w:rStyle w:val="st"/>
          <w:rFonts w:ascii="Times New Roman" w:eastAsiaTheme="minorHAnsi" w:hAnsi="Times New Roman" w:cs="Times New Roman"/>
          <w:sz w:val="24"/>
          <w:szCs w:val="24"/>
        </w:rPr>
      </w:pPr>
      <w:r w:rsidRPr="004B2420">
        <w:rPr>
          <w:rFonts w:ascii="Times New Roman" w:eastAsiaTheme="minorHAnsi" w:hAnsi="Times New Roman" w:cs="Times New Roman"/>
          <w:sz w:val="24"/>
          <w:szCs w:val="24"/>
        </w:rPr>
        <w:t xml:space="preserve">   UHC program beneficiaries are: persons holding </w:t>
      </w:r>
      <w:r w:rsidRPr="004B2420">
        <w:rPr>
          <w:rFonts w:ascii="Times New Roman" w:hAnsi="Times New Roman" w:cs="Times New Roman"/>
          <w:sz w:val="24"/>
          <w:szCs w:val="24"/>
        </w:rPr>
        <w:t xml:space="preserve">identity card of Georgia, neutral identity card, neutral travel document, </w:t>
      </w:r>
      <w:r w:rsidRPr="004B2420">
        <w:rPr>
          <w:rFonts w:ascii="Times New Roman" w:eastAsiaTheme="minorHAnsi" w:hAnsi="Times New Roman" w:cs="Times New Roman"/>
          <w:sz w:val="24"/>
          <w:szCs w:val="24"/>
        </w:rPr>
        <w:t xml:space="preserve">also persons without citizenship having stateless status in Georgia, </w:t>
      </w:r>
      <w:r w:rsidRPr="004B2420">
        <w:rPr>
          <w:rStyle w:val="st"/>
          <w:rFonts w:ascii="Times New Roman" w:hAnsi="Times New Roman" w:cs="Times New Roman"/>
          <w:sz w:val="24"/>
          <w:szCs w:val="24"/>
        </w:rPr>
        <w:t xml:space="preserve">asylum seekers in Georgia, refugees and </w:t>
      </w:r>
      <w:r w:rsidRPr="004B2420">
        <w:rPr>
          <w:rStyle w:val="Emphasis"/>
          <w:rFonts w:ascii="Times New Roman" w:hAnsi="Times New Roman" w:cs="Times New Roman"/>
          <w:i w:val="0"/>
          <w:sz w:val="24"/>
          <w:szCs w:val="24"/>
        </w:rPr>
        <w:t>persons</w:t>
      </w:r>
      <w:r w:rsidRPr="004B2420">
        <w:rPr>
          <w:rStyle w:val="st"/>
          <w:rFonts w:ascii="Times New Roman" w:hAnsi="Times New Roman" w:cs="Times New Roman"/>
          <w:sz w:val="24"/>
          <w:szCs w:val="24"/>
        </w:rPr>
        <w:t xml:space="preserve"> with humanitarian status.</w:t>
      </w:r>
    </w:p>
    <w:p w:rsidR="00812AC6" w:rsidRPr="004B2420" w:rsidRDefault="00812AC6" w:rsidP="00812AC6">
      <w:pPr>
        <w:pStyle w:val="ListParagraph"/>
        <w:numPr>
          <w:ilvl w:val="0"/>
          <w:numId w:val="3"/>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To improve efficiency of the program and achieve a greater social equity, in May 2017 the Government revisited the eligibility criteria by taking into consideration the level of income of the potential beneficiaries.  </w:t>
      </w:r>
    </w:p>
    <w:p w:rsidR="00812AC6" w:rsidRPr="00F543B5" w:rsidRDefault="00812AC6" w:rsidP="00F543B5">
      <w:pPr>
        <w:pStyle w:val="ListParagraph"/>
        <w:numPr>
          <w:ilvl w:val="0"/>
          <w:numId w:val="3"/>
        </w:numPr>
        <w:spacing w:after="0" w:line="240" w:lineRule="auto"/>
        <w:jc w:val="both"/>
        <w:rPr>
          <w:rFonts w:ascii="Times New Roman" w:hAnsi="Times New Roman" w:cs="Times New Roman"/>
          <w:b/>
          <w:noProof/>
          <w:sz w:val="24"/>
          <w:szCs w:val="24"/>
        </w:rPr>
      </w:pPr>
      <w:r w:rsidRPr="004B2420">
        <w:rPr>
          <w:rFonts w:ascii="Times New Roman" w:hAnsi="Times New Roman" w:cs="Times New Roman"/>
          <w:sz w:val="24"/>
          <w:szCs w:val="24"/>
        </w:rPr>
        <w:t>By the end of 2018, more than 5 million cases were reported in the Universal Health Care Program</w:t>
      </w:r>
      <w:r w:rsidRPr="004B2420">
        <w:rPr>
          <w:rFonts w:ascii="Times New Roman" w:hAnsi="Times New Roman" w:cs="Times New Roman"/>
          <w:sz w:val="24"/>
          <w:szCs w:val="24"/>
          <w:shd w:val="clear" w:color="auto" w:fill="FFFFFF"/>
        </w:rPr>
        <w:t>.</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According to the joint survey of the World Bank, WHO, USAID, an absolute majority of the Universal health Care Program beneficiaries (96.4%) are satisfied or very satisfied with in-patient and/or emergency out-patient services of the UHC program and 80.3% of the surveyed beneficiaries are satisfied with the planned outpatient services.</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 xml:space="preserve">According to the joint survey of World Bank, WHO, USAID </w:t>
      </w:r>
      <w:r w:rsidRPr="004B2420">
        <w:rPr>
          <w:rFonts w:ascii="Times New Roman" w:hAnsi="Times New Roman" w:cs="Times New Roman"/>
          <w:sz w:val="24"/>
          <w:szCs w:val="24"/>
        </w:rPr>
        <w:t xml:space="preserve">the main achievements of the Universal Healthcare Program are: increased </w:t>
      </w:r>
      <w:r w:rsidR="00F41CA3" w:rsidRPr="004B2420">
        <w:rPr>
          <w:rFonts w:ascii="Times New Roman" w:hAnsi="Times New Roman" w:cs="Times New Roman"/>
          <w:sz w:val="24"/>
          <w:szCs w:val="24"/>
        </w:rPr>
        <w:t>accessibility</w:t>
      </w:r>
      <w:r w:rsidRPr="004B2420">
        <w:rPr>
          <w:rFonts w:ascii="Times New Roman" w:hAnsi="Times New Roman" w:cs="Times New Roman"/>
          <w:sz w:val="24"/>
          <w:szCs w:val="24"/>
        </w:rPr>
        <w:t xml:space="preserve"> to the medical services; increased utilization of the medical services; reduced financial barriers and increased coverage.</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sz w:val="24"/>
          <w:szCs w:val="24"/>
        </w:rPr>
        <w:t xml:space="preserve">Since 2013 utilization of health care services has increased. </w:t>
      </w:r>
      <w:r w:rsidR="00F41CA3" w:rsidRPr="004B2420">
        <w:rPr>
          <w:rFonts w:ascii="Times New Roman" w:hAnsi="Times New Roman" w:cs="Times New Roman"/>
          <w:sz w:val="24"/>
          <w:szCs w:val="24"/>
        </w:rPr>
        <w:t>In</w:t>
      </w:r>
      <w:r w:rsidRPr="004B2420">
        <w:rPr>
          <w:rFonts w:ascii="Times New Roman" w:hAnsi="Times New Roman" w:cs="Times New Roman"/>
          <w:sz w:val="24"/>
          <w:szCs w:val="24"/>
        </w:rPr>
        <w:t xml:space="preserve"> 2017, the number of out</w:t>
      </w:r>
      <w:r w:rsidRPr="004B2420">
        <w:rPr>
          <w:rFonts w:ascii="Times New Roman" w:hAnsi="Times New Roman" w:cs="Times New Roman"/>
          <w:bCs/>
          <w:sz w:val="24"/>
          <w:szCs w:val="24"/>
          <w:shd w:val="clear" w:color="auto" w:fill="FFFFFF"/>
        </w:rPr>
        <w:t>patient visits per capita was 3.6 (</w:t>
      </w:r>
      <w:r w:rsidR="00F41CA3" w:rsidRPr="004B2420">
        <w:rPr>
          <w:rFonts w:ascii="Times New Roman" w:hAnsi="Times New Roman" w:cs="Times New Roman"/>
          <w:bCs/>
          <w:sz w:val="24"/>
          <w:szCs w:val="24"/>
          <w:shd w:val="clear" w:color="auto" w:fill="FFFFFF"/>
        </w:rPr>
        <w:t>compared to 2.3 in 2012</w:t>
      </w:r>
      <w:r w:rsidRPr="004B2420">
        <w:rPr>
          <w:rFonts w:ascii="Times New Roman" w:hAnsi="Times New Roman" w:cs="Times New Roman"/>
          <w:bCs/>
          <w:sz w:val="24"/>
          <w:szCs w:val="24"/>
          <w:shd w:val="clear" w:color="auto" w:fill="FFFFFF"/>
        </w:rPr>
        <w:t>), while the hospitalization rate per 100 population increased from to 8.0 (2012) to 14.2 (2017).</w:t>
      </w:r>
    </w:p>
    <w:p w:rsidR="00B66E98" w:rsidRPr="004B2420" w:rsidRDefault="00B66E98" w:rsidP="00B66E98">
      <w:pPr>
        <w:pStyle w:val="ListParagraph"/>
        <w:numPr>
          <w:ilvl w:val="0"/>
          <w:numId w:val="3"/>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lastRenderedPageBreak/>
        <w:t xml:space="preserve">In order to ensure health service quality, from March 1, 2017 </w:t>
      </w:r>
      <w:r w:rsidR="00812AC6" w:rsidRPr="004B2420">
        <w:rPr>
          <w:rFonts w:ascii="Times New Roman" w:hAnsi="Times New Roman" w:cs="Times New Roman"/>
          <w:sz w:val="24"/>
          <w:szCs w:val="24"/>
        </w:rPr>
        <w:t xml:space="preserve">the Ministry </w:t>
      </w:r>
      <w:r w:rsidRPr="004B2420">
        <w:rPr>
          <w:rFonts w:ascii="Times New Roman" w:hAnsi="Times New Roman" w:cs="Times New Roman"/>
          <w:sz w:val="24"/>
          <w:szCs w:val="24"/>
        </w:rPr>
        <w:t xml:space="preserve">has started selective contracting of service providers for perinatal care; from July </w:t>
      </w:r>
      <w:r w:rsidR="00812AC6" w:rsidRPr="004B2420">
        <w:rPr>
          <w:rFonts w:ascii="Times New Roman" w:hAnsi="Times New Roman" w:cs="Times New Roman"/>
          <w:sz w:val="24"/>
          <w:szCs w:val="24"/>
        </w:rPr>
        <w:t xml:space="preserve"> the selective contracting mechanism has been extended to</w:t>
      </w:r>
      <w:r w:rsidRPr="004B2420">
        <w:rPr>
          <w:rFonts w:ascii="Times New Roman" w:hAnsi="Times New Roman" w:cs="Times New Roman"/>
          <w:sz w:val="24"/>
          <w:szCs w:val="24"/>
        </w:rPr>
        <w:t xml:space="preserve"> 2nd and 3rd level intensive care providers</w:t>
      </w:r>
      <w:r w:rsidR="00812AC6" w:rsidRPr="004B2420">
        <w:rPr>
          <w:rFonts w:ascii="Times New Roman" w:hAnsi="Times New Roman" w:cs="Times New Roman"/>
          <w:sz w:val="24"/>
          <w:szCs w:val="24"/>
        </w:rPr>
        <w:t xml:space="preserve"> and from January 2018 to emergency in-patient and antenatal care providers.  </w:t>
      </w:r>
      <w:r w:rsidRPr="004B2420">
        <w:rPr>
          <w:rFonts w:ascii="Times New Roman" w:hAnsi="Times New Roman" w:cs="Times New Roman"/>
          <w:sz w:val="24"/>
          <w:szCs w:val="24"/>
        </w:rPr>
        <w:t xml:space="preserve"> </w:t>
      </w:r>
    </w:p>
    <w:p w:rsidR="00B66E98" w:rsidRPr="004B2420" w:rsidRDefault="00B66E98" w:rsidP="00B66E98">
      <w:pPr>
        <w:pStyle w:val="ListParagraph"/>
        <w:spacing w:after="0" w:line="240" w:lineRule="auto"/>
        <w:ind w:left="1080"/>
        <w:jc w:val="both"/>
        <w:rPr>
          <w:rFonts w:ascii="Times New Roman" w:hAnsi="Times New Roman" w:cs="Times New Roman"/>
          <w:b/>
          <w:noProof/>
          <w:sz w:val="24"/>
          <w:szCs w:val="24"/>
        </w:rPr>
      </w:pPr>
    </w:p>
    <w:p w:rsidR="00B66E98" w:rsidRPr="004B2420" w:rsidRDefault="00B66E98" w:rsidP="00B66E98">
      <w:pPr>
        <w:pStyle w:val="NormalWeb"/>
        <w:spacing w:before="0" w:beforeAutospacing="0" w:after="0" w:afterAutospacing="0"/>
        <w:ind w:left="5040" w:firstLine="720"/>
        <w:jc w:val="center"/>
        <w:rPr>
          <w:i/>
          <w:color w:val="000000" w:themeColor="text1"/>
          <w:kern w:val="24"/>
          <w:sz w:val="18"/>
          <w:szCs w:val="18"/>
          <w:lang w:val="en-US"/>
        </w:rPr>
      </w:pPr>
      <w:r w:rsidRPr="004B2420">
        <w:rPr>
          <w:i/>
          <w:sz w:val="18"/>
          <w:szCs w:val="18"/>
          <w:lang w:val="en-US"/>
        </w:rPr>
        <w:t>Annual out</w:t>
      </w:r>
      <w:r w:rsidRPr="004B2420">
        <w:rPr>
          <w:bCs/>
          <w:i/>
          <w:sz w:val="18"/>
          <w:szCs w:val="18"/>
          <w:shd w:val="clear" w:color="auto" w:fill="FFFFFF"/>
          <w:lang w:val="en-US"/>
        </w:rPr>
        <w:t xml:space="preserve">patient visits per capita </w:t>
      </w:r>
      <w:r w:rsidRPr="004B2420">
        <w:rPr>
          <w:i/>
          <w:color w:val="000000" w:themeColor="text1"/>
          <w:kern w:val="24"/>
          <w:sz w:val="18"/>
          <w:szCs w:val="18"/>
          <w:lang w:val="ka-GE"/>
        </w:rPr>
        <w:t>(2012-201</w:t>
      </w:r>
      <w:r w:rsidRPr="004B2420">
        <w:rPr>
          <w:i/>
          <w:color w:val="000000" w:themeColor="text1"/>
          <w:kern w:val="24"/>
          <w:sz w:val="18"/>
          <w:szCs w:val="18"/>
          <w:lang w:val="en-US"/>
        </w:rPr>
        <w:t>7</w:t>
      </w:r>
      <w:r w:rsidRPr="004B2420">
        <w:rPr>
          <w:i/>
          <w:color w:val="000000" w:themeColor="text1"/>
          <w:kern w:val="24"/>
          <w:sz w:val="18"/>
          <w:szCs w:val="18"/>
          <w:lang w:val="ka-GE"/>
        </w:rPr>
        <w:t>)</w:t>
      </w:r>
    </w:p>
    <w:p w:rsidR="00B66E98" w:rsidRPr="004B2420" w:rsidRDefault="00B66E98" w:rsidP="00B66E98">
      <w:pPr>
        <w:pStyle w:val="NormalWeb"/>
        <w:spacing w:before="0" w:beforeAutospacing="0" w:after="0" w:afterAutospacing="0"/>
        <w:ind w:left="360"/>
        <w:jc w:val="right"/>
        <w:rPr>
          <w:i/>
          <w:color w:val="000000" w:themeColor="text1"/>
          <w:sz w:val="22"/>
          <w:szCs w:val="22"/>
          <w:lang w:val="en-US"/>
        </w:rPr>
      </w:pPr>
      <w:r w:rsidRPr="004B2420">
        <w:rPr>
          <w:rFonts w:eastAsia="Segoe UI"/>
          <w:noProof/>
          <w:lang w:val="en-US" w:eastAsia="en-US"/>
        </w:rPr>
        <w:drawing>
          <wp:inline distT="0" distB="0" distL="0" distR="0">
            <wp:extent cx="5407479" cy="2449286"/>
            <wp:effectExtent l="19050" t="0" r="21771" b="8164"/>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49AC" w:rsidRDefault="006049AC" w:rsidP="00B66E98">
      <w:pPr>
        <w:spacing w:after="0" w:line="240" w:lineRule="auto"/>
        <w:ind w:left="720" w:right="43"/>
        <w:jc w:val="both"/>
        <w:rPr>
          <w:rFonts w:ascii="Times New Roman" w:hAnsi="Times New Roman" w:cs="Times New Roman"/>
          <w:bCs/>
          <w:sz w:val="18"/>
          <w:szCs w:val="18"/>
        </w:rPr>
      </w:pPr>
    </w:p>
    <w:p w:rsidR="00B66E98" w:rsidRPr="004B2420" w:rsidRDefault="00B66E98" w:rsidP="00B66E98">
      <w:pPr>
        <w:spacing w:after="0" w:line="240" w:lineRule="auto"/>
        <w:ind w:left="720" w:right="43"/>
        <w:jc w:val="both"/>
        <w:rPr>
          <w:rFonts w:ascii="Times New Roman" w:eastAsia="Segoe UI" w:hAnsi="Times New Roman" w:cs="Times New Roman"/>
          <w:i/>
          <w:lang w:val="ka-GE"/>
        </w:rPr>
      </w:pPr>
      <w:r w:rsidRPr="004B2420">
        <w:rPr>
          <w:rFonts w:ascii="Times New Roman" w:hAnsi="Times New Roman" w:cs="Times New Roman"/>
          <w:bCs/>
          <w:sz w:val="18"/>
          <w:szCs w:val="18"/>
        </w:rPr>
        <w:t>Source: NCDC&amp;PH</w:t>
      </w:r>
    </w:p>
    <w:p w:rsidR="00B66E98" w:rsidRPr="004B2420" w:rsidRDefault="00B66E98" w:rsidP="00B66E98">
      <w:pPr>
        <w:spacing w:after="0" w:line="240" w:lineRule="auto"/>
        <w:ind w:left="720" w:right="43"/>
        <w:jc w:val="both"/>
        <w:rPr>
          <w:rFonts w:ascii="Times New Roman" w:eastAsia="Segoe UI" w:hAnsi="Times New Roman" w:cs="Times New Roman"/>
          <w:i/>
          <w:lang w:val="ka-GE"/>
        </w:rPr>
      </w:pPr>
    </w:p>
    <w:p w:rsidR="00B66E98" w:rsidRPr="004B2420" w:rsidRDefault="00B66E98" w:rsidP="00B66E98">
      <w:pPr>
        <w:spacing w:after="0" w:line="240" w:lineRule="auto"/>
        <w:ind w:left="5760" w:right="43"/>
        <w:jc w:val="both"/>
        <w:rPr>
          <w:rFonts w:ascii="Times New Roman" w:hAnsi="Times New Roman" w:cs="Times New Roman"/>
          <w:i/>
          <w:kern w:val="24"/>
          <w:sz w:val="18"/>
          <w:szCs w:val="18"/>
        </w:rPr>
      </w:pPr>
    </w:p>
    <w:p w:rsidR="00B66E98" w:rsidRPr="004B2420" w:rsidRDefault="00B66E98" w:rsidP="00B66E98">
      <w:pPr>
        <w:spacing w:after="0" w:line="240" w:lineRule="auto"/>
        <w:ind w:left="5760" w:right="43"/>
        <w:jc w:val="both"/>
        <w:rPr>
          <w:rFonts w:ascii="Times New Roman" w:hAnsi="Times New Roman" w:cs="Times New Roman"/>
          <w:bCs/>
          <w:sz w:val="18"/>
          <w:szCs w:val="18"/>
        </w:rPr>
      </w:pPr>
      <w:r w:rsidRPr="004B2420">
        <w:rPr>
          <w:rFonts w:ascii="Times New Roman" w:hAnsi="Times New Roman" w:cs="Times New Roman"/>
          <w:i/>
          <w:kern w:val="24"/>
          <w:sz w:val="18"/>
          <w:szCs w:val="18"/>
        </w:rPr>
        <w:t>Hospitalization Rate per person</w:t>
      </w:r>
      <w:r w:rsidRPr="004B2420">
        <w:rPr>
          <w:rFonts w:ascii="Times New Roman" w:hAnsi="Times New Roman" w:cs="Times New Roman"/>
          <w:i/>
          <w:kern w:val="24"/>
          <w:sz w:val="18"/>
          <w:szCs w:val="18"/>
          <w:lang w:val="ka-GE"/>
        </w:rPr>
        <w:t xml:space="preserve"> (2012-2016)</w:t>
      </w:r>
    </w:p>
    <w:p w:rsidR="00B66E98" w:rsidRPr="004B2420" w:rsidRDefault="00B66E98" w:rsidP="00B66E98">
      <w:pPr>
        <w:ind w:left="720" w:right="50"/>
        <w:rPr>
          <w:rFonts w:ascii="Times New Roman" w:hAnsi="Times New Roman" w:cs="Times New Roman"/>
          <w:bCs/>
          <w:sz w:val="18"/>
          <w:szCs w:val="18"/>
        </w:rPr>
      </w:pPr>
      <w:r w:rsidRPr="004B2420">
        <w:rPr>
          <w:rFonts w:ascii="Times New Roman" w:eastAsia="Segoe UI" w:hAnsi="Times New Roman" w:cs="Times New Roman"/>
          <w:noProof/>
          <w:sz w:val="20"/>
        </w:rPr>
        <w:drawing>
          <wp:inline distT="0" distB="0" distL="0" distR="0">
            <wp:extent cx="5470653" cy="2411730"/>
            <wp:effectExtent l="19050" t="0" r="15747"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B2420">
        <w:rPr>
          <w:rFonts w:ascii="Times New Roman" w:hAnsi="Times New Roman" w:cs="Times New Roman"/>
          <w:bCs/>
          <w:sz w:val="18"/>
          <w:szCs w:val="18"/>
        </w:rPr>
        <w:t>Source: NCDC&amp;PH</w:t>
      </w:r>
    </w:p>
    <w:p w:rsidR="00B66E98" w:rsidRDefault="00B66E98" w:rsidP="00B66E98">
      <w:pPr>
        <w:ind w:left="720" w:right="50"/>
        <w:jc w:val="both"/>
        <w:rPr>
          <w:rFonts w:ascii="Times New Roman" w:hAnsi="Times New Roman" w:cs="Times New Roman"/>
          <w:bCs/>
        </w:rPr>
      </w:pPr>
    </w:p>
    <w:p w:rsidR="00F543B5" w:rsidRDefault="00F543B5" w:rsidP="00B66E98">
      <w:pPr>
        <w:ind w:left="720" w:right="50"/>
        <w:jc w:val="both"/>
        <w:rPr>
          <w:rFonts w:ascii="Times New Roman" w:hAnsi="Times New Roman" w:cs="Times New Roman"/>
          <w:bCs/>
        </w:rPr>
      </w:pPr>
    </w:p>
    <w:p w:rsidR="00F543B5" w:rsidRDefault="00F543B5" w:rsidP="00B66E98">
      <w:pPr>
        <w:ind w:left="720" w:right="50"/>
        <w:jc w:val="both"/>
        <w:rPr>
          <w:rFonts w:ascii="Times New Roman" w:hAnsi="Times New Roman" w:cs="Times New Roman"/>
          <w:bCs/>
        </w:rPr>
      </w:pPr>
    </w:p>
    <w:p w:rsidR="006049AC" w:rsidRDefault="006049AC" w:rsidP="00B66E98">
      <w:pPr>
        <w:ind w:left="720" w:right="50"/>
        <w:jc w:val="both"/>
        <w:rPr>
          <w:rFonts w:ascii="Times New Roman" w:hAnsi="Times New Roman" w:cs="Times New Roman"/>
          <w:bCs/>
        </w:rPr>
      </w:pPr>
    </w:p>
    <w:p w:rsidR="006049AC" w:rsidRPr="00F543B5" w:rsidRDefault="006049AC" w:rsidP="00B66E98">
      <w:pPr>
        <w:ind w:left="720" w:right="50"/>
        <w:jc w:val="both"/>
        <w:rPr>
          <w:rFonts w:ascii="Times New Roman" w:hAnsi="Times New Roman" w:cs="Times New Roman"/>
          <w:bCs/>
        </w:rPr>
      </w:pPr>
    </w:p>
    <w:p w:rsidR="00B66E98" w:rsidRPr="004B2420" w:rsidRDefault="00B66E98" w:rsidP="00B66E98">
      <w:pPr>
        <w:pStyle w:val="ListParagraph"/>
        <w:spacing w:after="0" w:line="240" w:lineRule="auto"/>
        <w:ind w:left="4320" w:right="50" w:firstLine="720"/>
        <w:jc w:val="center"/>
        <w:rPr>
          <w:rFonts w:ascii="Times New Roman" w:hAnsi="Times New Roman" w:cs="Times New Roman"/>
          <w:bCs/>
          <w:i/>
          <w:color w:val="002060"/>
          <w:sz w:val="18"/>
          <w:szCs w:val="18"/>
        </w:rPr>
      </w:pPr>
      <w:r w:rsidRPr="004B2420">
        <w:rPr>
          <w:rFonts w:ascii="Times New Roman" w:hAnsi="Times New Roman" w:cs="Times New Roman"/>
          <w:bCs/>
          <w:i/>
          <w:sz w:val="18"/>
          <w:szCs w:val="18"/>
        </w:rPr>
        <w:lastRenderedPageBreak/>
        <w:t>Universal health care State Program Expenditure</w:t>
      </w:r>
    </w:p>
    <w:p w:rsidR="00B66E98" w:rsidRPr="004B2420" w:rsidRDefault="00B66E98" w:rsidP="00B66E98">
      <w:pPr>
        <w:autoSpaceDE w:val="0"/>
        <w:autoSpaceDN w:val="0"/>
        <w:adjustRightInd w:val="0"/>
        <w:spacing w:after="0" w:line="240" w:lineRule="auto"/>
        <w:jc w:val="right"/>
        <w:rPr>
          <w:rFonts w:ascii="Times New Roman" w:hAnsi="Times New Roman" w:cs="Times New Roman"/>
          <w:sz w:val="18"/>
          <w:szCs w:val="18"/>
        </w:rPr>
      </w:pPr>
      <w:r w:rsidRPr="004B2420">
        <w:rPr>
          <w:rFonts w:ascii="Times New Roman" w:eastAsia="Segoe UI" w:hAnsi="Times New Roman" w:cs="Times New Roman"/>
          <w:noProof/>
        </w:rPr>
        <w:drawing>
          <wp:inline distT="0" distB="0" distL="0" distR="0">
            <wp:extent cx="5717540" cy="2552700"/>
            <wp:effectExtent l="19050" t="0" r="1651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049AC" w:rsidRDefault="006049AC" w:rsidP="00B66E98">
      <w:pPr>
        <w:autoSpaceDE w:val="0"/>
        <w:autoSpaceDN w:val="0"/>
        <w:adjustRightInd w:val="0"/>
        <w:spacing w:after="0" w:line="240" w:lineRule="auto"/>
        <w:rPr>
          <w:rFonts w:ascii="Times New Roman" w:hAnsi="Times New Roman" w:cs="Times New Roman"/>
          <w:sz w:val="18"/>
          <w:szCs w:val="18"/>
        </w:rPr>
      </w:pPr>
    </w:p>
    <w:p w:rsidR="00B66E98" w:rsidRPr="004B2420" w:rsidRDefault="00B66E98" w:rsidP="00B66E98">
      <w:pPr>
        <w:autoSpaceDE w:val="0"/>
        <w:autoSpaceDN w:val="0"/>
        <w:adjustRightInd w:val="0"/>
        <w:spacing w:after="0" w:line="240" w:lineRule="auto"/>
        <w:rPr>
          <w:rFonts w:ascii="Times New Roman" w:eastAsia="Segoe UI" w:hAnsi="Times New Roman" w:cs="Times New Roman"/>
          <w:sz w:val="18"/>
          <w:szCs w:val="18"/>
          <w:lang w:val="ka-GE"/>
        </w:rPr>
      </w:pPr>
      <w:r w:rsidRPr="004B2420">
        <w:rPr>
          <w:rFonts w:ascii="Times New Roman" w:hAnsi="Times New Roman" w:cs="Times New Roman"/>
          <w:sz w:val="18"/>
          <w:szCs w:val="18"/>
        </w:rPr>
        <w:t>Source: State Treasury</w:t>
      </w:r>
    </w:p>
    <w:p w:rsidR="00B66E98" w:rsidRPr="004B2420" w:rsidRDefault="00B66E98" w:rsidP="00B66E98">
      <w:pPr>
        <w:spacing w:after="0" w:line="240" w:lineRule="auto"/>
        <w:jc w:val="both"/>
        <w:rPr>
          <w:rFonts w:ascii="Times New Roman" w:hAnsi="Times New Roman" w:cs="Times New Roman"/>
          <w:sz w:val="24"/>
          <w:szCs w:val="24"/>
        </w:rPr>
      </w:pPr>
    </w:p>
    <w:p w:rsidR="00B66E98" w:rsidRPr="004E6046" w:rsidRDefault="00B66E98" w:rsidP="00F543B5">
      <w:pPr>
        <w:pStyle w:val="Heading1"/>
        <w:spacing w:before="0" w:line="240" w:lineRule="auto"/>
        <w:rPr>
          <w:rFonts w:ascii="Times New Roman" w:eastAsiaTheme="minorHAnsi" w:hAnsi="Times New Roman" w:cs="Times New Roman"/>
          <w:lang w:val="ka-GE"/>
        </w:rPr>
      </w:pPr>
      <w:r w:rsidRPr="004E6046">
        <w:rPr>
          <w:rFonts w:ascii="Times New Roman" w:eastAsiaTheme="minorHAnsi" w:hAnsi="Times New Roman" w:cs="Times New Roman"/>
        </w:rPr>
        <w:t>S</w:t>
      </w:r>
      <w:r w:rsidRPr="004E6046">
        <w:rPr>
          <w:rFonts w:ascii="Times New Roman" w:eastAsiaTheme="minorHAnsi" w:hAnsi="Times New Roman" w:cs="Times New Roman"/>
          <w:lang w:val="ka-GE"/>
        </w:rPr>
        <w:t>tate program for providing medicines for chronic diseases</w:t>
      </w:r>
    </w:p>
    <w:p w:rsidR="00B66E98" w:rsidRPr="004B2420" w:rsidRDefault="00B66E98" w:rsidP="00B66E98">
      <w:pPr>
        <w:pStyle w:val="HTMLPreformatted"/>
        <w:shd w:val="clear" w:color="auto" w:fill="FFFFFF"/>
        <w:ind w:left="360"/>
        <w:jc w:val="both"/>
        <w:rPr>
          <w:rFonts w:ascii="Times New Roman" w:eastAsiaTheme="minorHAnsi" w:hAnsi="Times New Roman" w:cs="Times New Roman"/>
          <w:b/>
          <w:sz w:val="24"/>
          <w:szCs w:val="24"/>
          <w:lang w:val="ka-GE"/>
        </w:rPr>
      </w:pPr>
    </w:p>
    <w:p w:rsidR="00180FB0" w:rsidRPr="004B2420" w:rsidRDefault="000643AF" w:rsidP="00B66E98">
      <w:pPr>
        <w:pStyle w:val="ListParagraph"/>
        <w:numPr>
          <w:ilvl w:val="0"/>
          <w:numId w:val="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In July 2017, the Ministry has launched the State Program for providing drugs to individuals with most common chronic conditions</w:t>
      </w:r>
      <w:r w:rsidR="00180FB0" w:rsidRPr="004B2420">
        <w:rPr>
          <w:rFonts w:ascii="Times New Roman" w:hAnsi="Times New Roman" w:cs="Times New Roman"/>
          <w:sz w:val="24"/>
          <w:szCs w:val="24"/>
        </w:rPr>
        <w:t xml:space="preserve"> such as cardiovascular and obstructive pulmonary diseases, diabetes (type 2), thyroid disorders, epilepsy and parkinson’s disease</w:t>
      </w:r>
      <w:r w:rsidRPr="004B2420">
        <w:rPr>
          <w:rFonts w:ascii="Times New Roman" w:hAnsi="Times New Roman" w:cs="Times New Roman"/>
          <w:sz w:val="24"/>
          <w:szCs w:val="24"/>
        </w:rPr>
        <w:t>. Benefitiaries o</w:t>
      </w:r>
      <w:r w:rsidR="00180FB0" w:rsidRPr="004B2420">
        <w:rPr>
          <w:rFonts w:ascii="Times New Roman" w:hAnsi="Times New Roman" w:cs="Times New Roman"/>
          <w:sz w:val="24"/>
          <w:szCs w:val="24"/>
        </w:rPr>
        <w:t>f this program are socially vulnerable</w:t>
      </w:r>
      <w:r w:rsidRPr="004B2420">
        <w:rPr>
          <w:rFonts w:ascii="Times New Roman" w:hAnsi="Times New Roman" w:cs="Times New Roman"/>
          <w:sz w:val="24"/>
          <w:szCs w:val="24"/>
        </w:rPr>
        <w:t xml:space="preserve"> with the rating score below 100000, pensioners </w:t>
      </w:r>
      <w:r w:rsidR="00180FB0" w:rsidRPr="004B2420">
        <w:rPr>
          <w:rFonts w:ascii="Times New Roman" w:hAnsi="Times New Roman" w:cs="Times New Roman"/>
          <w:sz w:val="24"/>
          <w:szCs w:val="24"/>
        </w:rPr>
        <w:t xml:space="preserve">and persons with disabilities (including children). </w:t>
      </w:r>
    </w:p>
    <w:p w:rsidR="00B66E98" w:rsidRPr="004B2420" w:rsidRDefault="00180FB0" w:rsidP="00B66E98">
      <w:pPr>
        <w:pStyle w:val="ListParagraph"/>
        <w:spacing w:after="0" w:line="240" w:lineRule="auto"/>
        <w:jc w:val="both"/>
        <w:rPr>
          <w:rFonts w:ascii="Times New Roman" w:hAnsi="Times New Roman" w:cs="Times New Roman"/>
          <w:b/>
          <w:i/>
          <w:noProof/>
          <w:sz w:val="24"/>
          <w:szCs w:val="24"/>
        </w:rPr>
      </w:pPr>
      <w:r w:rsidRPr="004B2420">
        <w:rPr>
          <w:rFonts w:ascii="Times New Roman" w:hAnsi="Times New Roman" w:cs="Times New Roman"/>
          <w:sz w:val="24"/>
          <w:szCs w:val="24"/>
        </w:rPr>
        <w:t xml:space="preserve">In 2018, 29483 persons received the program benefits. </w:t>
      </w:r>
    </w:p>
    <w:p w:rsidR="00F543B5" w:rsidRDefault="00F543B5" w:rsidP="00F543B5">
      <w:pPr>
        <w:pStyle w:val="Heading1"/>
        <w:spacing w:before="0" w:line="240" w:lineRule="auto"/>
        <w:rPr>
          <w:rFonts w:ascii="Times New Roman" w:eastAsiaTheme="minorHAnsi" w:hAnsi="Times New Roman" w:cs="Times New Roman"/>
        </w:rPr>
      </w:pPr>
    </w:p>
    <w:p w:rsidR="00B66E98" w:rsidRPr="00F543B5" w:rsidRDefault="00B66E98" w:rsidP="00F543B5">
      <w:pPr>
        <w:pStyle w:val="Heading1"/>
        <w:spacing w:before="0" w:line="240" w:lineRule="auto"/>
        <w:rPr>
          <w:rFonts w:ascii="Times New Roman" w:eastAsiaTheme="minorHAnsi" w:hAnsi="Times New Roman" w:cs="Times New Roman"/>
        </w:rPr>
      </w:pPr>
      <w:r w:rsidRPr="00F543B5">
        <w:rPr>
          <w:rFonts w:ascii="Times New Roman" w:eastAsiaTheme="minorHAnsi" w:hAnsi="Times New Roman" w:cs="Times New Roman"/>
        </w:rPr>
        <w:t>Hepatitis C Elimination Program</w:t>
      </w:r>
    </w:p>
    <w:p w:rsidR="00B66E98" w:rsidRPr="004B2420" w:rsidRDefault="00B66E98" w:rsidP="00B66E98">
      <w:pPr>
        <w:pStyle w:val="ListParagraph"/>
        <w:spacing w:after="0" w:line="240" w:lineRule="auto"/>
        <w:ind w:left="360"/>
        <w:jc w:val="both"/>
        <w:rPr>
          <w:rFonts w:ascii="Times New Roman" w:hAnsi="Times New Roman" w:cs="Times New Roman"/>
          <w:b/>
          <w:sz w:val="24"/>
          <w:szCs w:val="24"/>
          <w:lang w:val="ka-GE"/>
        </w:rPr>
      </w:pPr>
    </w:p>
    <w:p w:rsidR="00B66E98" w:rsidRPr="004B2420" w:rsidRDefault="00B66E98" w:rsidP="00B66E98">
      <w:pPr>
        <w:pStyle w:val="ListParagraph"/>
        <w:numPr>
          <w:ilvl w:val="0"/>
          <w:numId w:val="19"/>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Memorandum of Understanding between the Government of Georgia and US pharmaceutical company Gilead Science Inc. was signed on April 21, 2015. As a result, Georgia started unprecedented Hepatitis C Elimination Program in the World.</w:t>
      </w:r>
    </w:p>
    <w:p w:rsidR="00B66E98" w:rsidRPr="004B2420" w:rsidRDefault="00B66E98" w:rsidP="00B66E98">
      <w:pPr>
        <w:pStyle w:val="ListParagraph"/>
        <w:numPr>
          <w:ilvl w:val="0"/>
          <w:numId w:val="19"/>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In April 2016, The Government of Georgia and the company "Gilead" signed a long-term agreement on the continuous provision for zero price of the new generation of hepatitis C medicines by Gilead Science Inc., until the elimination of hepatitis C in Georgia.</w:t>
      </w:r>
    </w:p>
    <w:p w:rsidR="00B66E98" w:rsidRPr="004B2420" w:rsidRDefault="00B66E98" w:rsidP="00B66E98">
      <w:pPr>
        <w:pStyle w:val="ListParagraph"/>
        <w:numPr>
          <w:ilvl w:val="0"/>
          <w:numId w:val="19"/>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In August 2016, a long-term strategy for elimination of hepatitis C (2016-2020) was developed to achieve the ultimate goal of eliminating the hepatitis C. Strategy sets forth the following targets, to be reached by 2020: </w:t>
      </w:r>
    </w:p>
    <w:p w:rsidR="00B66E98" w:rsidRPr="004B2420" w:rsidRDefault="00B66E98" w:rsidP="00B66E98">
      <w:pPr>
        <w:numPr>
          <w:ilvl w:val="0"/>
          <w:numId w:val="5"/>
        </w:numPr>
        <w:spacing w:after="0" w:line="240" w:lineRule="auto"/>
        <w:ind w:left="1440"/>
        <w:jc w:val="both"/>
        <w:rPr>
          <w:rFonts w:ascii="Times New Roman" w:hAnsi="Times New Roman" w:cs="Times New Roman"/>
          <w:sz w:val="24"/>
          <w:szCs w:val="24"/>
        </w:rPr>
      </w:pPr>
      <w:r w:rsidRPr="004B2420">
        <w:rPr>
          <w:rFonts w:ascii="Times New Roman" w:hAnsi="Times New Roman" w:cs="Times New Roman"/>
          <w:sz w:val="24"/>
          <w:szCs w:val="24"/>
        </w:rPr>
        <w:t xml:space="preserve"> 90% of HCV infected persons </w:t>
      </w:r>
      <w:r w:rsidR="00180FB0" w:rsidRPr="004B2420">
        <w:rPr>
          <w:rFonts w:ascii="Times New Roman" w:hAnsi="Times New Roman" w:cs="Times New Roman"/>
          <w:sz w:val="24"/>
          <w:szCs w:val="24"/>
        </w:rPr>
        <w:t>will be</w:t>
      </w:r>
      <w:r w:rsidRPr="004B2420">
        <w:rPr>
          <w:rFonts w:ascii="Times New Roman" w:hAnsi="Times New Roman" w:cs="Times New Roman"/>
          <w:sz w:val="24"/>
          <w:szCs w:val="24"/>
        </w:rPr>
        <w:t xml:space="preserve"> tested for their infection,</w:t>
      </w:r>
    </w:p>
    <w:p w:rsidR="00B66E98" w:rsidRPr="004B2420" w:rsidRDefault="00B66E98" w:rsidP="00B66E98">
      <w:pPr>
        <w:numPr>
          <w:ilvl w:val="0"/>
          <w:numId w:val="5"/>
        </w:numPr>
        <w:spacing w:after="0" w:line="240" w:lineRule="auto"/>
        <w:ind w:left="1440"/>
        <w:jc w:val="both"/>
        <w:rPr>
          <w:rFonts w:ascii="Times New Roman" w:hAnsi="Times New Roman" w:cs="Times New Roman"/>
          <w:sz w:val="24"/>
          <w:szCs w:val="24"/>
        </w:rPr>
      </w:pPr>
      <w:r w:rsidRPr="004B2420">
        <w:rPr>
          <w:rFonts w:ascii="Times New Roman" w:hAnsi="Times New Roman" w:cs="Times New Roman"/>
          <w:sz w:val="24"/>
          <w:szCs w:val="24"/>
        </w:rPr>
        <w:t xml:space="preserve"> 95% of people with chronic infection </w:t>
      </w:r>
      <w:r w:rsidR="00180FB0" w:rsidRPr="004B2420">
        <w:rPr>
          <w:rFonts w:ascii="Times New Roman" w:hAnsi="Times New Roman" w:cs="Times New Roman"/>
          <w:sz w:val="24"/>
          <w:szCs w:val="24"/>
        </w:rPr>
        <w:t>will receive</w:t>
      </w:r>
      <w:r w:rsidRPr="004B2420">
        <w:rPr>
          <w:rFonts w:ascii="Times New Roman" w:hAnsi="Times New Roman" w:cs="Times New Roman"/>
          <w:sz w:val="24"/>
          <w:szCs w:val="24"/>
        </w:rPr>
        <w:t xml:space="preserve"> treatment, and </w:t>
      </w:r>
    </w:p>
    <w:p w:rsidR="00B66E98" w:rsidRPr="004B2420" w:rsidRDefault="00B66E98" w:rsidP="00B66E98">
      <w:pPr>
        <w:numPr>
          <w:ilvl w:val="0"/>
          <w:numId w:val="5"/>
        </w:numPr>
        <w:spacing w:after="0" w:line="240" w:lineRule="auto"/>
        <w:ind w:left="1440"/>
        <w:jc w:val="both"/>
        <w:rPr>
          <w:rFonts w:ascii="Times New Roman" w:hAnsi="Times New Roman" w:cs="Times New Roman"/>
          <w:sz w:val="24"/>
          <w:szCs w:val="24"/>
        </w:rPr>
      </w:pPr>
      <w:r w:rsidRPr="004B2420">
        <w:rPr>
          <w:rFonts w:ascii="Times New Roman" w:hAnsi="Times New Roman" w:cs="Times New Roman"/>
          <w:sz w:val="24"/>
          <w:szCs w:val="24"/>
        </w:rPr>
        <w:t xml:space="preserve">95% of persons </w:t>
      </w:r>
      <w:r w:rsidR="00180FB0" w:rsidRPr="004B2420">
        <w:rPr>
          <w:rFonts w:ascii="Times New Roman" w:hAnsi="Times New Roman" w:cs="Times New Roman"/>
          <w:sz w:val="24"/>
          <w:szCs w:val="24"/>
        </w:rPr>
        <w:t xml:space="preserve">receiving treatment will be cured of HCV </w:t>
      </w:r>
    </w:p>
    <w:p w:rsidR="00B66E98" w:rsidRPr="004B2420" w:rsidRDefault="00B66E98" w:rsidP="00B66E98">
      <w:pPr>
        <w:pStyle w:val="ListParagraph"/>
        <w:numPr>
          <w:ilvl w:val="0"/>
          <w:numId w:val="20"/>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In the initial phase of the program in 2015, program beneficiaries were patients with severe liver disease. From June 10, 2016, the inclusion criteria were removed. Services are provided to the citizens of Georgia as well as persons with neutral IDs living in occupied territories, and for convicts placed in penitentiary system.</w:t>
      </w:r>
    </w:p>
    <w:p w:rsid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Throughout the country, 42 service centers are providing diagnostic and treatment services to the elimination program beneficiaries. Since the launch of the program in </w:t>
      </w:r>
      <w:r w:rsidRPr="004B2420">
        <w:rPr>
          <w:rFonts w:ascii="Times New Roman" w:hAnsi="Times New Roman" w:cs="Times New Roman"/>
          <w:sz w:val="24"/>
          <w:szCs w:val="24"/>
        </w:rPr>
        <w:lastRenderedPageBreak/>
        <w:t>2015 through January, 2019 more than 54 000 beneficiaries have been registered in the program.  More than 52</w:t>
      </w:r>
      <w:r w:rsidR="004925EF" w:rsidRPr="004B2420">
        <w:rPr>
          <w:rFonts w:ascii="Times New Roman" w:hAnsi="Times New Roman" w:cs="Times New Roman"/>
          <w:sz w:val="24"/>
          <w:szCs w:val="24"/>
        </w:rPr>
        <w:t> </w:t>
      </w:r>
      <w:r w:rsidRPr="004B2420">
        <w:rPr>
          <w:rFonts w:ascii="Times New Roman" w:hAnsi="Times New Roman" w:cs="Times New Roman"/>
          <w:sz w:val="24"/>
          <w:szCs w:val="24"/>
        </w:rPr>
        <w:t>000</w:t>
      </w:r>
      <w:r w:rsidR="004925EF" w:rsidRPr="004B2420">
        <w:rPr>
          <w:rFonts w:ascii="Times New Roman" w:hAnsi="Times New Roman" w:cs="Times New Roman"/>
          <w:sz w:val="24"/>
          <w:szCs w:val="24"/>
        </w:rPr>
        <w:t xml:space="preserve"> </w:t>
      </w:r>
      <w:r w:rsidRPr="004B2420">
        <w:rPr>
          <w:rFonts w:ascii="Times New Roman" w:hAnsi="Times New Roman" w:cs="Times New Roman"/>
          <w:sz w:val="24"/>
          <w:szCs w:val="24"/>
        </w:rPr>
        <w:t>patients started and 48 900 patients completed the treatment. SVR was achieved in</w:t>
      </w:r>
      <w:r w:rsidR="004925EF" w:rsidRPr="004B2420">
        <w:rPr>
          <w:rFonts w:ascii="Times New Roman" w:hAnsi="Times New Roman" w:cs="Times New Roman"/>
          <w:sz w:val="24"/>
          <w:szCs w:val="24"/>
        </w:rPr>
        <w:t xml:space="preserve"> </w:t>
      </w:r>
      <w:r w:rsidRPr="004B2420">
        <w:rPr>
          <w:rFonts w:ascii="Times New Roman" w:hAnsi="Times New Roman" w:cs="Times New Roman"/>
          <w:sz w:val="24"/>
          <w:szCs w:val="24"/>
        </w:rPr>
        <w:t xml:space="preserve">98,3%. </w:t>
      </w:r>
    </w:p>
    <w:p w:rsidR="00F543B5" w:rsidRDefault="00F543B5"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I</w:t>
      </w:r>
      <w:r w:rsidR="00B66E98" w:rsidRPr="00F543B5">
        <w:rPr>
          <w:rFonts w:ascii="Times New Roman" w:hAnsi="Times New Roman" w:cs="Times New Roman"/>
          <w:sz w:val="24"/>
          <w:szCs w:val="24"/>
        </w:rPr>
        <w:t xml:space="preserve">n order to increase </w:t>
      </w:r>
      <w:r>
        <w:rPr>
          <w:rFonts w:ascii="Times New Roman" w:hAnsi="Times New Roman" w:cs="Times New Roman"/>
          <w:sz w:val="24"/>
          <w:szCs w:val="24"/>
        </w:rPr>
        <w:t>detection</w:t>
      </w:r>
      <w:r w:rsidR="00B66E98" w:rsidRPr="00F543B5">
        <w:rPr>
          <w:rFonts w:ascii="Times New Roman" w:hAnsi="Times New Roman" w:cs="Times New Roman"/>
          <w:sz w:val="24"/>
          <w:szCs w:val="24"/>
        </w:rPr>
        <w:t xml:space="preserve"> of hepatitis </w:t>
      </w:r>
      <w:r>
        <w:rPr>
          <w:rFonts w:ascii="Times New Roman" w:hAnsi="Times New Roman" w:cs="Times New Roman"/>
          <w:sz w:val="24"/>
          <w:szCs w:val="24"/>
        </w:rPr>
        <w:t xml:space="preserve">C virus screening activities have </w:t>
      </w:r>
      <w:r w:rsidR="00B66E98" w:rsidRPr="00F543B5">
        <w:rPr>
          <w:rFonts w:ascii="Times New Roman" w:hAnsi="Times New Roman" w:cs="Times New Roman"/>
          <w:sz w:val="24"/>
          <w:szCs w:val="24"/>
        </w:rPr>
        <w:t>been significantly scaled up. The Hepatitis C screening protocol was developed and approved. Routine screening is provided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rsid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Additional 10 service providers already started program since launching the project, among them 8 primary health care providers and 4 harm reduction centers.</w:t>
      </w:r>
    </w:p>
    <w:p w:rsid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 xml:space="preserve">From December 2017, confirmative test necessary for the program enrollment and genotype testing from September 2018, is fully funded within the HCV Elimination Program. </w:t>
      </w:r>
    </w:p>
    <w:p w:rsidR="00B66E98" w:rsidRP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On November 1, 2017, at the World Hepatitis Summit in Sao Paulo, Brazil, Georgia was awarded the title of NOhep Visionary for the European Region status for contribution to the process of elimination of hepatitis C.</w:t>
      </w:r>
    </w:p>
    <w:p w:rsidR="00B66E98" w:rsidRPr="004B2420" w:rsidRDefault="00B66E98" w:rsidP="00B66E98">
      <w:pPr>
        <w:spacing w:after="0" w:line="240" w:lineRule="auto"/>
        <w:jc w:val="both"/>
        <w:rPr>
          <w:rFonts w:ascii="Times New Roman" w:hAnsi="Times New Roman" w:cs="Times New Roman"/>
          <w:b/>
          <w:sz w:val="24"/>
          <w:szCs w:val="24"/>
        </w:rPr>
      </w:pPr>
    </w:p>
    <w:p w:rsidR="00B66E98" w:rsidRPr="004B2420" w:rsidRDefault="00B66E98" w:rsidP="00B66E98">
      <w:pPr>
        <w:spacing w:after="0" w:line="240" w:lineRule="auto"/>
        <w:jc w:val="both"/>
        <w:rPr>
          <w:rFonts w:ascii="Times New Roman" w:hAnsi="Times New Roman" w:cs="Times New Roman"/>
          <w:b/>
          <w:sz w:val="24"/>
          <w:szCs w:val="24"/>
        </w:rPr>
      </w:pPr>
    </w:p>
    <w:p w:rsidR="00B66E98" w:rsidRPr="00F543B5" w:rsidRDefault="00B66E98" w:rsidP="00F543B5">
      <w:pPr>
        <w:pStyle w:val="Heading1"/>
        <w:spacing w:before="0"/>
        <w:rPr>
          <w:rFonts w:ascii="Times New Roman" w:hAnsi="Times New Roman" w:cs="Times New Roman"/>
        </w:rPr>
      </w:pPr>
      <w:r w:rsidRPr="00F543B5">
        <w:rPr>
          <w:rFonts w:ascii="Times New Roman" w:hAnsi="Times New Roman" w:cs="Times New Roman"/>
        </w:rPr>
        <w:t>State P</w:t>
      </w:r>
      <w:r w:rsidRPr="00F543B5">
        <w:rPr>
          <w:rFonts w:ascii="Times New Roman" w:hAnsi="Times New Roman" w:cs="Times New Roman"/>
          <w:lang w:val="ka-GE"/>
        </w:rPr>
        <w:t>rogram</w:t>
      </w:r>
      <w:r w:rsidRPr="00F543B5">
        <w:rPr>
          <w:rFonts w:ascii="Times New Roman" w:hAnsi="Times New Roman" w:cs="Times New Roman"/>
        </w:rPr>
        <w:t xml:space="preserve"> of Referral Service</w:t>
      </w:r>
    </w:p>
    <w:p w:rsidR="00B66E98" w:rsidRPr="004B2420" w:rsidRDefault="00B66E98" w:rsidP="00B66E9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
    <w:p w:rsidR="00B66E98" w:rsidRPr="004B2420" w:rsidRDefault="00B66E98" w:rsidP="00B66E98">
      <w:pPr>
        <w:pStyle w:val="ListParagraph"/>
        <w:numPr>
          <w:ilvl w:val="0"/>
          <w:numId w:val="18"/>
        </w:numPr>
        <w:spacing w:after="0" w:line="240" w:lineRule="auto"/>
        <w:jc w:val="both"/>
        <w:rPr>
          <w:rFonts w:ascii="Times New Roman" w:hAnsi="Times New Roman" w:cs="Times New Roman"/>
          <w:b/>
          <w:sz w:val="24"/>
          <w:szCs w:val="24"/>
        </w:rPr>
      </w:pPr>
      <w:r w:rsidRPr="004B2420">
        <w:rPr>
          <w:rFonts w:ascii="Times New Roman" w:eastAsia="Times New Roman" w:hAnsi="Times New Roman" w:cs="Times New Roman"/>
          <w:sz w:val="24"/>
          <w:szCs w:val="24"/>
        </w:rPr>
        <w:t>The State Program of Referral Service aims</w:t>
      </w:r>
      <w:r w:rsidRPr="004B2420">
        <w:rPr>
          <w:rFonts w:ascii="Times New Roman" w:hAnsi="Times New Roman" w:cs="Times New Roman"/>
          <w:sz w:val="24"/>
          <w:szCs w:val="24"/>
        </w:rPr>
        <w:t xml:space="preserve"> to improve the health of the population by increasing the financial and geographical accessibility.</w:t>
      </w:r>
    </w:p>
    <w:p w:rsidR="00B66E98" w:rsidRPr="004B2420" w:rsidRDefault="00B66E98" w:rsidP="00B66E98">
      <w:pPr>
        <w:pStyle w:val="ListParagraph"/>
        <w:numPr>
          <w:ilvl w:val="0"/>
          <w:numId w:val="6"/>
        </w:numPr>
        <w:spacing w:after="0" w:line="240" w:lineRule="auto"/>
        <w:jc w:val="both"/>
        <w:rPr>
          <w:rFonts w:ascii="Times New Roman" w:hAnsi="Times New Roman" w:cs="Times New Roman"/>
          <w:bCs/>
          <w:sz w:val="24"/>
          <w:szCs w:val="24"/>
        </w:rPr>
      </w:pPr>
      <w:r w:rsidRPr="004B2420">
        <w:rPr>
          <w:rFonts w:ascii="Times New Roman" w:eastAsia="Times New Roman" w:hAnsi="Times New Roman" w:cs="Times New Roman"/>
          <w:sz w:val="24"/>
          <w:szCs w:val="24"/>
        </w:rPr>
        <w:t>The Program beneficiaries together with Georgia citizens are s</w:t>
      </w:r>
      <w:r w:rsidRPr="004B2420">
        <w:rPr>
          <w:rFonts w:ascii="Times New Roman" w:hAnsi="Times New Roman" w:cs="Times New Roman"/>
          <w:bCs/>
          <w:sz w:val="24"/>
          <w:szCs w:val="24"/>
        </w:rPr>
        <w:t xml:space="preserve">tateless persons permanently residing </w:t>
      </w:r>
      <w:r w:rsidRPr="004B2420">
        <w:rPr>
          <w:rFonts w:ascii="Times New Roman" w:eastAsia="Times New Roman" w:hAnsi="Times New Roman" w:cs="Times New Roman"/>
          <w:sz w:val="24"/>
          <w:szCs w:val="24"/>
        </w:rPr>
        <w:t>in Autonomous Republic of Abkhazia, Tskhinvali Region and based on Ceasefire Agreement on August 12, 2008, population.</w:t>
      </w:r>
    </w:p>
    <w:p w:rsidR="00B66E98" w:rsidRPr="004B2420" w:rsidRDefault="00B66E98" w:rsidP="00B66E98">
      <w:pPr>
        <w:pStyle w:val="HTMLPreformatted"/>
        <w:numPr>
          <w:ilvl w:val="0"/>
          <w:numId w:val="6"/>
        </w:numPr>
        <w:shd w:val="clear" w:color="auto" w:fill="FFFFFF"/>
        <w:jc w:val="both"/>
        <w:rPr>
          <w:rFonts w:ascii="Times New Roman" w:eastAsiaTheme="minorHAnsi" w:hAnsi="Times New Roman" w:cs="Times New Roman"/>
          <w:sz w:val="24"/>
          <w:szCs w:val="24"/>
        </w:rPr>
      </w:pPr>
      <w:r w:rsidRPr="004B2420">
        <w:rPr>
          <w:rFonts w:ascii="Times New Roman" w:eastAsiaTheme="minorHAnsi" w:hAnsi="Times New Roman" w:cs="Times New Roman"/>
          <w:sz w:val="24"/>
          <w:szCs w:val="24"/>
        </w:rPr>
        <w:t>In 2012-2018, more than 84 500 people benefited from the program.</w:t>
      </w:r>
    </w:p>
    <w:p w:rsidR="00B66E98" w:rsidRPr="004B2420"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Since 2016, the Ministry of IDPs,Labour, Health and Social Affairs of Georgia provides expensive drug Trastuzumab (Herceptin) treatment for HER2 + Receptor positive women with breast cancer.</w:t>
      </w:r>
    </w:p>
    <w:p w:rsidR="00B66E98" w:rsidRPr="004E6046"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The aim of the program is to conduct an innovative, targeted therapy and increase financial access to treatment for the citizens of Georgia (women) with HER2-reciprocate early breast cancer.</w:t>
      </w:r>
    </w:p>
    <w:p w:rsidR="00B66E98" w:rsidRPr="004E6046"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From 2018 within the programme is possible partial or complete provision with the medicines (trastuzumab + lapatinib)of the HER2 receptor-positive breast metastasized cancer patients ;</w:t>
      </w:r>
    </w:p>
    <w:p w:rsidR="00B66E98" w:rsidRPr="004E6046"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The total beneficiaries of the program were 182 patients, total number of expenditure for aforementioned program is 3 814 229 GEL.</w:t>
      </w:r>
    </w:p>
    <w:p w:rsidR="00B66E98" w:rsidRPr="004B2420" w:rsidRDefault="00B66E98" w:rsidP="00B66E98">
      <w:pPr>
        <w:pStyle w:val="HTMLPreformatted"/>
        <w:shd w:val="clear" w:color="auto" w:fill="FFFFFF"/>
        <w:ind w:left="709"/>
        <w:jc w:val="both"/>
        <w:rPr>
          <w:rFonts w:ascii="Times New Roman" w:eastAsiaTheme="minorHAnsi" w:hAnsi="Times New Roman" w:cs="Times New Roman"/>
          <w:sz w:val="24"/>
          <w:szCs w:val="24"/>
        </w:rPr>
      </w:pPr>
    </w:p>
    <w:p w:rsidR="00B66E98" w:rsidRPr="00F543B5" w:rsidRDefault="00B66E98" w:rsidP="00F543B5">
      <w:pPr>
        <w:pStyle w:val="Heading1"/>
        <w:rPr>
          <w:rFonts w:ascii="Times New Roman" w:eastAsiaTheme="minorHAnsi" w:hAnsi="Times New Roman" w:cs="Times New Roman"/>
          <w:lang w:val="ka-GE"/>
        </w:rPr>
      </w:pPr>
      <w:r w:rsidRPr="00F543B5">
        <w:rPr>
          <w:rFonts w:ascii="Times New Roman" w:eastAsiaTheme="minorHAnsi" w:hAnsi="Times New Roman" w:cs="Times New Roman"/>
          <w:lang w:val="ka-GE"/>
        </w:rPr>
        <w:lastRenderedPageBreak/>
        <w:t xml:space="preserve">Other state </w:t>
      </w:r>
      <w:r w:rsidRPr="00F543B5">
        <w:rPr>
          <w:rFonts w:ascii="Times New Roman" w:eastAsiaTheme="minorHAnsi" w:hAnsi="Times New Roman" w:cs="Times New Roman"/>
        </w:rPr>
        <w:t xml:space="preserve">health </w:t>
      </w:r>
      <w:r w:rsidRPr="00F543B5">
        <w:rPr>
          <w:rFonts w:ascii="Times New Roman" w:eastAsiaTheme="minorHAnsi" w:hAnsi="Times New Roman" w:cs="Times New Roman"/>
          <w:lang w:val="ka-GE"/>
        </w:rPr>
        <w:t xml:space="preserve">programs </w:t>
      </w:r>
    </w:p>
    <w:p w:rsidR="00B66E98" w:rsidRPr="004B2420" w:rsidRDefault="00B66E98" w:rsidP="00B66E98">
      <w:pPr>
        <w:pStyle w:val="HTMLPreformatted"/>
        <w:shd w:val="clear" w:color="auto" w:fill="FFFFFF"/>
        <w:jc w:val="both"/>
        <w:rPr>
          <w:rFonts w:ascii="Times New Roman" w:eastAsiaTheme="minorHAnsi" w:hAnsi="Times New Roman" w:cs="Times New Roman"/>
          <w:b/>
          <w:sz w:val="24"/>
          <w:szCs w:val="24"/>
          <w:lang w:val="ka-GE"/>
        </w:rPr>
      </w:pPr>
    </w:p>
    <w:p w:rsidR="00B66E98" w:rsidRPr="004B2420" w:rsidRDefault="00B66E98" w:rsidP="00B66E98">
      <w:pPr>
        <w:pStyle w:val="ListParagraph"/>
        <w:numPr>
          <w:ilvl w:val="0"/>
          <w:numId w:val="16"/>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Public Health Programs include the prevention of communicable and non-communicable disease</w:t>
      </w:r>
      <w:r w:rsidR="00640D49" w:rsidRPr="004B2420">
        <w:rPr>
          <w:rFonts w:ascii="Times New Roman" w:hAnsi="Times New Roman" w:cs="Times New Roman"/>
          <w:sz w:val="24"/>
          <w:szCs w:val="24"/>
        </w:rPr>
        <w:t>s</w:t>
      </w:r>
      <w:r w:rsidRPr="004B2420">
        <w:rPr>
          <w:rFonts w:ascii="Times New Roman" w:hAnsi="Times New Roman" w:cs="Times New Roman"/>
          <w:sz w:val="24"/>
          <w:szCs w:val="24"/>
        </w:rPr>
        <w:t>, immunizatio</w:t>
      </w:r>
      <w:r w:rsidR="00640D49" w:rsidRPr="004B2420">
        <w:rPr>
          <w:rFonts w:ascii="Times New Roman" w:hAnsi="Times New Roman" w:cs="Times New Roman"/>
          <w:sz w:val="24"/>
          <w:szCs w:val="24"/>
        </w:rPr>
        <w:t>n,</w:t>
      </w:r>
      <w:r w:rsidRPr="004B2420">
        <w:rPr>
          <w:rFonts w:ascii="Times New Roman" w:hAnsi="Times New Roman" w:cs="Times New Roman"/>
          <w:sz w:val="24"/>
          <w:szCs w:val="24"/>
        </w:rPr>
        <w:t xml:space="preserve"> early detection and screening of </w:t>
      </w:r>
      <w:r w:rsidRPr="006049AC">
        <w:rPr>
          <w:rFonts w:ascii="Times New Roman" w:hAnsi="Times New Roman" w:cs="Times New Roman"/>
          <w:sz w:val="24"/>
          <w:szCs w:val="24"/>
        </w:rPr>
        <w:t xml:space="preserve">diseases, TB, </w:t>
      </w:r>
      <w:r w:rsidR="00E46374" w:rsidRPr="006049AC">
        <w:rPr>
          <w:rFonts w:ascii="Times New Roman" w:hAnsi="Times New Roman" w:cs="Times New Roman"/>
          <w:sz w:val="24"/>
          <w:szCs w:val="24"/>
        </w:rPr>
        <w:t>malaria,</w:t>
      </w:r>
      <w:r w:rsidRPr="006049AC">
        <w:rPr>
          <w:rFonts w:ascii="Times New Roman" w:hAnsi="Times New Roman" w:cs="Times New Roman"/>
          <w:sz w:val="24"/>
          <w:szCs w:val="24"/>
        </w:rPr>
        <w:t xml:space="preserve"> viral</w:t>
      </w:r>
      <w:r w:rsidRPr="004B2420">
        <w:rPr>
          <w:rFonts w:ascii="Times New Roman" w:hAnsi="Times New Roman" w:cs="Times New Roman"/>
          <w:sz w:val="24"/>
          <w:szCs w:val="24"/>
        </w:rPr>
        <w:t xml:space="preserve"> hepatitis, HIV/AIDS, sexually transmitted infections and health promotion </w:t>
      </w:r>
      <w:r w:rsidR="004B2420" w:rsidRPr="004B2420">
        <w:rPr>
          <w:rFonts w:ascii="Times New Roman" w:hAnsi="Times New Roman" w:cs="Times New Roman"/>
          <w:sz w:val="24"/>
          <w:szCs w:val="24"/>
        </w:rPr>
        <w:t>for the entire country population</w:t>
      </w:r>
      <w:r w:rsidRPr="004B2420">
        <w:rPr>
          <w:rFonts w:ascii="Times New Roman" w:hAnsi="Times New Roman" w:cs="Times New Roman"/>
          <w:sz w:val="24"/>
          <w:szCs w:val="24"/>
        </w:rPr>
        <w:t>.</w:t>
      </w:r>
    </w:p>
    <w:p w:rsidR="00B66E98" w:rsidRPr="00F543B5" w:rsidRDefault="00B66E98" w:rsidP="00B66E98">
      <w:pPr>
        <w:pStyle w:val="ListParagraph"/>
        <w:numPr>
          <w:ilvl w:val="0"/>
          <w:numId w:val="16"/>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Health care service provision to the population of Georgia in priority areas is ensured by geographical accessibility to the following health care services/programs: mental health, diabetes management, children's onco-hematology services, dialysis and kidney transplantation, palliative care of incurable patients, management of rare diseases and permanent replacement treatment, ambulance and emergency care and services, provided by rural doctors.</w:t>
      </w:r>
    </w:p>
    <w:p w:rsidR="00B66E98" w:rsidRPr="00F543B5" w:rsidRDefault="00B66E98" w:rsidP="00F543B5">
      <w:pPr>
        <w:pStyle w:val="Heading1"/>
        <w:rPr>
          <w:rFonts w:ascii="Times New Roman" w:eastAsiaTheme="minorHAnsi" w:hAnsi="Times New Roman" w:cs="Times New Roman"/>
          <w:lang w:val="ka-GE"/>
        </w:rPr>
      </w:pPr>
      <w:r w:rsidRPr="00F543B5">
        <w:rPr>
          <w:rFonts w:ascii="Times New Roman" w:eastAsiaTheme="minorHAnsi" w:hAnsi="Times New Roman" w:cs="Times New Roman"/>
          <w:lang w:val="ka-GE"/>
        </w:rPr>
        <w:t>Rural doctors program</w:t>
      </w:r>
    </w:p>
    <w:p w:rsidR="00B66E98" w:rsidRPr="004B2420" w:rsidRDefault="00B66E98" w:rsidP="00B66E98">
      <w:pPr>
        <w:pStyle w:val="ListParagraph"/>
        <w:tabs>
          <w:tab w:val="left" w:pos="810"/>
        </w:tabs>
        <w:spacing w:after="0" w:line="240" w:lineRule="auto"/>
        <w:ind w:left="360"/>
        <w:jc w:val="both"/>
        <w:rPr>
          <w:rFonts w:ascii="Times New Roman" w:hAnsi="Times New Roman" w:cs="Times New Roman"/>
          <w:b/>
          <w:sz w:val="24"/>
          <w:szCs w:val="24"/>
        </w:rPr>
      </w:pP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In order to strengthen the role of the rural doctor, in the first quarter of 2014, the government took the responsibility to manage of the "Rural Doctor" program.</w:t>
      </w: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Salary of doctors and nurses increased by 30% from May 2014 (the doctor's salary was 500 GEL and became 650 GEL; the salary of the nurses was GEL 300 and became 455 GEL).</w:t>
      </w: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The centralized procurement of medical documents and "doctor's bag" (the doctor's bag contains medicines, antiseptic means, single-handed goods and instruments) was made for rural doctors.</w:t>
      </w: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rsidR="00B66E98" w:rsidRPr="004B2420" w:rsidRDefault="00B66E98" w:rsidP="00B66E98">
      <w:pPr>
        <w:pStyle w:val="HTMLPreformatted"/>
        <w:shd w:val="clear" w:color="auto" w:fill="FFFFFF"/>
        <w:jc w:val="both"/>
        <w:rPr>
          <w:rFonts w:ascii="Times New Roman" w:eastAsiaTheme="minorHAnsi" w:hAnsi="Times New Roman" w:cs="Times New Roman"/>
          <w:sz w:val="24"/>
          <w:szCs w:val="24"/>
        </w:rPr>
      </w:pPr>
    </w:p>
    <w:p w:rsidR="00B66E98" w:rsidRPr="00F543B5" w:rsidRDefault="00B66E98" w:rsidP="00F543B5">
      <w:pPr>
        <w:pStyle w:val="Heading1"/>
        <w:spacing w:before="0" w:line="240" w:lineRule="auto"/>
        <w:rPr>
          <w:rFonts w:ascii="Times New Roman" w:eastAsiaTheme="minorHAnsi" w:hAnsi="Times New Roman" w:cs="Times New Roman"/>
          <w:lang w:val="ka-GE"/>
        </w:rPr>
      </w:pPr>
      <w:r w:rsidRPr="00F543B5">
        <w:rPr>
          <w:rFonts w:ascii="Times New Roman" w:eastAsiaTheme="minorHAnsi" w:hAnsi="Times New Roman" w:cs="Times New Roman"/>
          <w:lang w:val="ka-GE"/>
        </w:rPr>
        <w:t>TB Management Program</w:t>
      </w:r>
    </w:p>
    <w:p w:rsidR="00B66E98" w:rsidRPr="004B2420" w:rsidRDefault="00B66E98" w:rsidP="00B66E98">
      <w:pPr>
        <w:pStyle w:val="HTMLPreformatted"/>
        <w:shd w:val="clear" w:color="auto" w:fill="FFFFFF"/>
        <w:ind w:left="360"/>
        <w:jc w:val="both"/>
        <w:rPr>
          <w:rFonts w:ascii="Times New Roman" w:eastAsiaTheme="minorHAnsi" w:hAnsi="Times New Roman" w:cs="Times New Roman"/>
          <w:b/>
          <w:sz w:val="24"/>
          <w:szCs w:val="24"/>
        </w:rPr>
      </w:pPr>
    </w:p>
    <w:p w:rsidR="00CA0259" w:rsidRPr="004B2420" w:rsidRDefault="00B66E98" w:rsidP="004B2420">
      <w:pPr>
        <w:pStyle w:val="HTMLPreformatted"/>
        <w:numPr>
          <w:ilvl w:val="0"/>
          <w:numId w:val="7"/>
        </w:numPr>
        <w:shd w:val="clear" w:color="auto" w:fill="FFFFFF"/>
        <w:jc w:val="both"/>
        <w:rPr>
          <w:rFonts w:ascii="Times New Roman" w:eastAsiaTheme="minorHAnsi" w:hAnsi="Times New Roman" w:cs="Times New Roman"/>
          <w:sz w:val="24"/>
          <w:szCs w:val="24"/>
        </w:rPr>
      </w:pPr>
      <w:r w:rsidRPr="004B2420">
        <w:rPr>
          <w:rFonts w:ascii="Times New Roman" w:hAnsi="Times New Roman" w:cs="Times New Roman"/>
          <w:sz w:val="24"/>
          <w:szCs w:val="24"/>
          <w:shd w:val="clear" w:color="auto" w:fill="FFFFFF"/>
        </w:rPr>
        <w:t>The Government of Georgia significantly increased the state funding of TB management program (the program budget in 2015 - 11 629 100 GEL, in 2016 - 14 000 000 GEL, 2017 - 15 400 000 GEL, 2018-15 580 000GEL).</w:t>
      </w:r>
      <w:r w:rsidR="00917BD2" w:rsidRPr="004B2420">
        <w:rPr>
          <w:rFonts w:ascii="Times New Roman" w:hAnsi="Times New Roman" w:cs="Times New Roman"/>
          <w:sz w:val="24"/>
          <w:szCs w:val="24"/>
          <w:shd w:val="clear" w:color="auto" w:fill="FFFFFF"/>
        </w:rPr>
        <w:t xml:space="preserve"> </w:t>
      </w:r>
    </w:p>
    <w:p w:rsidR="004B2420" w:rsidRPr="004B2420" w:rsidRDefault="00B66E98" w:rsidP="004B2420">
      <w:pPr>
        <w:pStyle w:val="HTMLPreformatted"/>
        <w:numPr>
          <w:ilvl w:val="0"/>
          <w:numId w:val="7"/>
        </w:numPr>
        <w:jc w:val="both"/>
        <w:rPr>
          <w:rFonts w:ascii="Times New Roman" w:hAnsi="Times New Roman" w:cs="Times New Roman"/>
          <w:sz w:val="24"/>
          <w:szCs w:val="24"/>
          <w:shd w:val="clear" w:color="auto" w:fill="FFFFFF"/>
        </w:rPr>
      </w:pPr>
      <w:r w:rsidRPr="004B2420">
        <w:rPr>
          <w:rFonts w:ascii="Times New Roman" w:hAnsi="Times New Roman" w:cs="Times New Roman"/>
          <w:sz w:val="24"/>
          <w:szCs w:val="24"/>
          <w:shd w:val="clear" w:color="auto" w:fill="FFFFFF"/>
        </w:rPr>
        <w:t>The trilateral Memorandum of Understanding was signed between the Ministry of Labour, Health and Social Affairs of Georgia, the National Center for Tuberculosis and Lung Diseases and MSF-France in September 2014, which aims to provide new generation drugs (Bedaquiline and Delamanid) to the patients with multi</w:t>
      </w:r>
      <w:r w:rsidR="004B2420">
        <w:rPr>
          <w:rFonts w:ascii="Times New Roman" w:hAnsi="Times New Roman" w:cs="Times New Roman"/>
          <w:sz w:val="24"/>
          <w:szCs w:val="24"/>
          <w:shd w:val="clear" w:color="auto" w:fill="FFFFFF"/>
        </w:rPr>
        <w:t xml:space="preserve"> drug </w:t>
      </w:r>
      <w:r w:rsidRPr="004B2420">
        <w:rPr>
          <w:rFonts w:ascii="Times New Roman" w:hAnsi="Times New Roman" w:cs="Times New Roman"/>
          <w:sz w:val="24"/>
          <w:szCs w:val="24"/>
          <w:shd w:val="clear" w:color="auto" w:fill="FFFFFF"/>
        </w:rPr>
        <w:t>resistant tuberculosis.</w:t>
      </w:r>
      <w:r w:rsidR="004B2420">
        <w:rPr>
          <w:rFonts w:ascii="Times New Roman" w:hAnsi="Times New Roman" w:cs="Times New Roman"/>
          <w:sz w:val="24"/>
          <w:szCs w:val="24"/>
          <w:shd w:val="clear" w:color="auto" w:fill="FFFFFF"/>
        </w:rPr>
        <w:t xml:space="preserve"> National TB Program further expanded bedaquiline use in 2016 with the US Government support through Bedaquiline donation program.</w:t>
      </w:r>
    </w:p>
    <w:p w:rsidR="00B66E98" w:rsidRPr="004B2420" w:rsidRDefault="00923F87" w:rsidP="00B66E98">
      <w:pPr>
        <w:pStyle w:val="HTMLPreformatted"/>
        <w:numPr>
          <w:ilvl w:val="0"/>
          <w:numId w:val="7"/>
        </w:numPr>
        <w:shd w:val="clear" w:color="auto" w:fill="FFFFFF"/>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In 2015, t</w:t>
      </w:r>
      <w:r w:rsidR="004B2420">
        <w:rPr>
          <w:rFonts w:ascii="Times New Roman" w:hAnsi="Times New Roman" w:cs="Times New Roman"/>
          <w:sz w:val="24"/>
          <w:szCs w:val="24"/>
          <w:shd w:val="clear" w:color="auto" w:fill="FFFFFF"/>
        </w:rPr>
        <w:t xml:space="preserve">he </w:t>
      </w:r>
      <w:r>
        <w:rPr>
          <w:rFonts w:ascii="Times New Roman" w:hAnsi="Times New Roman" w:cs="Times New Roman"/>
          <w:sz w:val="24"/>
          <w:szCs w:val="24"/>
          <w:shd w:val="clear" w:color="auto" w:fill="FFFFFF"/>
        </w:rPr>
        <w:t>Government of Georgia launched the</w:t>
      </w:r>
      <w:r w:rsidR="004B2420">
        <w:rPr>
          <w:rFonts w:ascii="Times New Roman" w:hAnsi="Times New Roman" w:cs="Times New Roman"/>
          <w:sz w:val="24"/>
          <w:szCs w:val="24"/>
          <w:shd w:val="clear" w:color="auto" w:fill="FFFFFF"/>
        </w:rPr>
        <w:t xml:space="preserve"> financial incentive</w:t>
      </w:r>
      <w:r>
        <w:rPr>
          <w:rFonts w:ascii="Times New Roman" w:hAnsi="Times New Roman" w:cs="Times New Roman"/>
          <w:sz w:val="24"/>
          <w:szCs w:val="24"/>
          <w:shd w:val="clear" w:color="auto" w:fill="FFFFFF"/>
        </w:rPr>
        <w:t>s scheme for patients with multi</w:t>
      </w:r>
      <w:r w:rsidR="004B2420">
        <w:rPr>
          <w:rFonts w:ascii="Times New Roman" w:hAnsi="Times New Roman" w:cs="Times New Roman"/>
          <w:sz w:val="24"/>
          <w:szCs w:val="24"/>
          <w:shd w:val="clear" w:color="auto" w:fill="FFFFFF"/>
        </w:rPr>
        <w:t xml:space="preserve"> drug resistant tuberculosis aimed at treatment adherence support. </w:t>
      </w:r>
    </w:p>
    <w:p w:rsidR="004B2420" w:rsidRDefault="00923F87" w:rsidP="00B66E98">
      <w:pPr>
        <w:pStyle w:val="HTMLPreformatted"/>
        <w:numPr>
          <w:ilvl w:val="0"/>
          <w:numId w:val="7"/>
        </w:numPr>
        <w:shd w:val="clear" w:color="auto" w:fill="FFFFFF"/>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In order to ensure a smooth transition from donor to domestic financing of TB treatment, the state allocated needed resources for procuring the first-line antiretroviral (ARV) (since 2015) and 50% of second-line anti-TB drugs  (since 2018).</w:t>
      </w:r>
    </w:p>
    <w:p w:rsidR="00923F87" w:rsidRPr="004B2420" w:rsidRDefault="00923F87" w:rsidP="00B66E98">
      <w:pPr>
        <w:pStyle w:val="HTMLPreformatted"/>
        <w:numPr>
          <w:ilvl w:val="0"/>
          <w:numId w:val="7"/>
        </w:numPr>
        <w:shd w:val="clear" w:color="auto" w:fill="FFFFFF"/>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Thirty eight GeneXpert machines were installed in district health facilities in </w:t>
      </w:r>
      <w:r w:rsidR="00141222">
        <w:rPr>
          <w:rFonts w:ascii="Sylfaen" w:eastAsiaTheme="minorHAnsi" w:hAnsi="Sylfaen" w:cs="Times New Roman"/>
          <w:sz w:val="24"/>
          <w:szCs w:val="24"/>
          <w:lang w:val="ka-GE"/>
        </w:rPr>
        <w:t>2016-</w:t>
      </w:r>
      <w:r>
        <w:rPr>
          <w:rFonts w:ascii="Times New Roman" w:eastAsiaTheme="minorHAnsi" w:hAnsi="Times New Roman" w:cs="Times New Roman"/>
          <w:sz w:val="24"/>
          <w:szCs w:val="24"/>
        </w:rPr>
        <w:t xml:space="preserve">2017. This </w:t>
      </w:r>
      <w:r w:rsidR="00F821BC">
        <w:rPr>
          <w:rFonts w:ascii="Times New Roman" w:eastAsiaTheme="minorHAnsi" w:hAnsi="Times New Roman" w:cs="Times New Roman"/>
          <w:sz w:val="24"/>
          <w:szCs w:val="24"/>
        </w:rPr>
        <w:t>intervention</w:t>
      </w:r>
      <w:r>
        <w:rPr>
          <w:rFonts w:ascii="Times New Roman" w:eastAsiaTheme="minorHAnsi" w:hAnsi="Times New Roman" w:cs="Times New Roman"/>
          <w:sz w:val="24"/>
          <w:szCs w:val="24"/>
        </w:rPr>
        <w:t xml:space="preserve"> has substantially improved access to high quality diagnostic for rapid detection of TB and drug resistant TB. </w:t>
      </w:r>
    </w:p>
    <w:p w:rsidR="00B66E98" w:rsidRPr="004B2420" w:rsidRDefault="00B66E98" w:rsidP="00B66E98">
      <w:pPr>
        <w:pStyle w:val="ListParagraph"/>
        <w:numPr>
          <w:ilvl w:val="0"/>
          <w:numId w:val="7"/>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lastRenderedPageBreak/>
        <w:t>The prevalence and incidence of tuberculosis in Georgia is gradually decreasing by the assessment of the World Health Organization.</w:t>
      </w:r>
    </w:p>
    <w:p w:rsidR="00B66E98" w:rsidRPr="00F543B5" w:rsidRDefault="00B66E98" w:rsidP="00B66E98">
      <w:pPr>
        <w:tabs>
          <w:tab w:val="left" w:pos="0"/>
        </w:tabs>
        <w:jc w:val="both"/>
        <w:rPr>
          <w:rFonts w:ascii="Times New Roman" w:hAnsi="Times New Roman" w:cs="Times New Roman"/>
        </w:rPr>
      </w:pPr>
    </w:p>
    <w:p w:rsidR="00B66E98" w:rsidRPr="00952D76" w:rsidRDefault="00B66E98" w:rsidP="00B66E98">
      <w:pPr>
        <w:tabs>
          <w:tab w:val="left" w:pos="0"/>
        </w:tabs>
        <w:spacing w:after="0" w:line="240" w:lineRule="auto"/>
        <w:jc w:val="right"/>
        <w:rPr>
          <w:rFonts w:ascii="Times New Roman" w:eastAsia="Times New Roman" w:hAnsi="Times New Roman" w:cs="Times New Roman"/>
          <w:color w:val="002060"/>
          <w:sz w:val="20"/>
          <w:szCs w:val="24"/>
          <w:lang w:val="ka-GE"/>
        </w:rPr>
      </w:pPr>
      <w:r w:rsidRPr="004B2420">
        <w:rPr>
          <w:rFonts w:ascii="Times New Roman" w:eastAsia="Times New Roman" w:hAnsi="Times New Roman" w:cs="Times New Roman"/>
          <w:i/>
          <w:sz w:val="18"/>
          <w:szCs w:val="18"/>
        </w:rPr>
        <w:t>TB incidence per 100000 population, Georgia</w:t>
      </w:r>
      <w:r w:rsidRPr="00952D76">
        <w:rPr>
          <w:rFonts w:ascii="Times New Roman" w:eastAsia="Times New Roman" w:hAnsi="Times New Roman" w:cs="Times New Roman"/>
          <w:noProof/>
          <w:color w:val="002060"/>
          <w:sz w:val="20"/>
          <w:szCs w:val="24"/>
        </w:rPr>
        <w:drawing>
          <wp:inline distT="0" distB="0" distL="0" distR="0">
            <wp:extent cx="5157107" cy="2334986"/>
            <wp:effectExtent l="19050" t="0" r="24493" b="8164"/>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6E98" w:rsidRPr="00F543B5" w:rsidRDefault="00B66E98" w:rsidP="00F543B5">
      <w:pPr>
        <w:tabs>
          <w:tab w:val="left" w:pos="0"/>
        </w:tabs>
        <w:spacing w:after="0" w:line="240" w:lineRule="auto"/>
        <w:rPr>
          <w:rFonts w:ascii="Times New Roman" w:eastAsia="Times New Roman" w:hAnsi="Times New Roman" w:cs="Times New Roman"/>
          <w:sz w:val="18"/>
          <w:szCs w:val="18"/>
        </w:rPr>
      </w:pPr>
      <w:r w:rsidRPr="004B2420">
        <w:rPr>
          <w:rFonts w:ascii="Times New Roman" w:eastAsia="Times New Roman" w:hAnsi="Times New Roman" w:cs="Times New Roman"/>
          <w:sz w:val="20"/>
          <w:szCs w:val="20"/>
        </w:rPr>
        <w:tab/>
      </w:r>
      <w:r w:rsidRPr="004B2420">
        <w:rPr>
          <w:rFonts w:ascii="Times New Roman" w:eastAsia="Times New Roman" w:hAnsi="Times New Roman" w:cs="Times New Roman"/>
          <w:sz w:val="18"/>
          <w:szCs w:val="18"/>
        </w:rPr>
        <w:t>Source: NCDC&amp;PH</w:t>
      </w:r>
    </w:p>
    <w:p w:rsidR="00B66E98" w:rsidRPr="00F543B5" w:rsidRDefault="00B66E98" w:rsidP="00F543B5">
      <w:pPr>
        <w:pStyle w:val="Heading1"/>
        <w:rPr>
          <w:rFonts w:ascii="Times New Roman" w:hAnsi="Times New Roman" w:cs="Times New Roman"/>
        </w:rPr>
      </w:pPr>
      <w:r w:rsidRPr="00F543B5">
        <w:rPr>
          <w:rFonts w:ascii="Times New Roman" w:hAnsi="Times New Roman" w:cs="Times New Roman"/>
        </w:rPr>
        <w:t>HIV/AIDS Management Program</w:t>
      </w:r>
    </w:p>
    <w:p w:rsidR="00B66E98" w:rsidRPr="004B2420" w:rsidRDefault="00B66E98" w:rsidP="00B66E98">
      <w:pPr>
        <w:pStyle w:val="ListParagraph"/>
        <w:spacing w:after="0" w:line="240" w:lineRule="auto"/>
        <w:jc w:val="both"/>
        <w:rPr>
          <w:rFonts w:ascii="Times New Roman" w:hAnsi="Times New Roman" w:cs="Times New Roman"/>
          <w:b/>
          <w:sz w:val="24"/>
          <w:szCs w:val="24"/>
        </w:rPr>
      </w:pPr>
    </w:p>
    <w:p w:rsidR="00B66E98" w:rsidRPr="00141222" w:rsidRDefault="00B66E98" w:rsidP="00B66E98">
      <w:pPr>
        <w:pStyle w:val="ListParagraph"/>
        <w:numPr>
          <w:ilvl w:val="0"/>
          <w:numId w:val="8"/>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From 2015 the State ensures HIV patients with the first-line antiretroviral drugs (ARV) and from 2018 - 50 % of second-line of ARV drugs.</w:t>
      </w:r>
    </w:p>
    <w:p w:rsidR="00B66E98" w:rsidRPr="00F543B5" w:rsidRDefault="00141222" w:rsidP="00F543B5">
      <w:pPr>
        <w:pStyle w:val="ListParagraph"/>
        <w:numPr>
          <w:ilvl w:val="0"/>
          <w:numId w:val="8"/>
        </w:numPr>
        <w:spacing w:after="0" w:line="240" w:lineRule="auto"/>
        <w:jc w:val="both"/>
        <w:rPr>
          <w:rFonts w:ascii="Times New Roman" w:hAnsi="Times New Roman" w:cs="Times New Roman"/>
          <w:sz w:val="24"/>
          <w:szCs w:val="24"/>
        </w:rPr>
      </w:pPr>
      <w:r w:rsidRPr="00141222">
        <w:rPr>
          <w:rFonts w:ascii="Times New Roman" w:hAnsi="Times New Roman" w:cs="Times New Roman"/>
          <w:sz w:val="24"/>
          <w:szCs w:val="24"/>
        </w:rPr>
        <w:t xml:space="preserve">In 2015-2016, despite significant increase in detection of new HIV cases, 12% reduction in HIV incidence was observed in 2017. </w:t>
      </w:r>
    </w:p>
    <w:p w:rsidR="00B66E98" w:rsidRPr="004B2420" w:rsidRDefault="00B66E98" w:rsidP="00B66E98">
      <w:pPr>
        <w:spacing w:after="0" w:line="240" w:lineRule="auto"/>
        <w:ind w:left="5040" w:firstLine="720"/>
        <w:rPr>
          <w:rFonts w:ascii="Times New Roman" w:hAnsi="Times New Roman" w:cs="Times New Roman"/>
          <w:i/>
          <w:sz w:val="18"/>
          <w:szCs w:val="18"/>
        </w:rPr>
      </w:pPr>
    </w:p>
    <w:p w:rsidR="00B66E98" w:rsidRPr="004B2420" w:rsidRDefault="00B66E98" w:rsidP="00B66E98">
      <w:pPr>
        <w:spacing w:after="0" w:line="240" w:lineRule="auto"/>
        <w:ind w:left="5760"/>
        <w:rPr>
          <w:rFonts w:ascii="Times New Roman" w:hAnsi="Times New Roman" w:cs="Times New Roman"/>
          <w:i/>
          <w:sz w:val="18"/>
          <w:szCs w:val="18"/>
        </w:rPr>
      </w:pPr>
      <w:r w:rsidRPr="004B2420">
        <w:rPr>
          <w:rFonts w:ascii="Times New Roman" w:hAnsi="Times New Roman" w:cs="Times New Roman"/>
          <w:i/>
          <w:sz w:val="18"/>
          <w:szCs w:val="18"/>
        </w:rPr>
        <w:t>Number of HIV/AIDS new cases, Georgia</w:t>
      </w:r>
    </w:p>
    <w:p w:rsidR="00B66E98" w:rsidRPr="004B2420" w:rsidRDefault="00B66E98" w:rsidP="00B66E98">
      <w:pPr>
        <w:spacing w:after="0" w:line="240" w:lineRule="auto"/>
        <w:jc w:val="right"/>
        <w:rPr>
          <w:rFonts w:ascii="Times New Roman" w:hAnsi="Times New Roman" w:cs="Times New Roman"/>
          <w:sz w:val="24"/>
          <w:szCs w:val="24"/>
        </w:rPr>
      </w:pPr>
      <w:r w:rsidRPr="004B2420">
        <w:rPr>
          <w:rFonts w:ascii="Times New Roman" w:hAnsi="Times New Roman" w:cs="Times New Roman"/>
          <w:noProof/>
          <w:sz w:val="24"/>
          <w:szCs w:val="24"/>
        </w:rPr>
        <w:drawing>
          <wp:inline distT="0" distB="0" distL="0" distR="0">
            <wp:extent cx="5586153" cy="2588029"/>
            <wp:effectExtent l="19050" t="0" r="14547" b="277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6E98" w:rsidRPr="004B2420" w:rsidRDefault="00B66E98" w:rsidP="00B66E98">
      <w:pPr>
        <w:rPr>
          <w:rFonts w:ascii="Times New Roman" w:eastAsia="Times New Roman" w:hAnsi="Times New Roman" w:cs="Times New Roman"/>
          <w:sz w:val="18"/>
          <w:szCs w:val="18"/>
        </w:rPr>
      </w:pPr>
      <w:r w:rsidRPr="004B2420">
        <w:rPr>
          <w:rFonts w:ascii="Times New Roman" w:eastAsia="Times New Roman" w:hAnsi="Times New Roman" w:cs="Times New Roman"/>
          <w:sz w:val="18"/>
          <w:szCs w:val="18"/>
        </w:rPr>
        <w:t>Source: NCDC&amp;PH</w:t>
      </w:r>
    </w:p>
    <w:p w:rsidR="00B66E98" w:rsidRPr="004B2420" w:rsidRDefault="00B66E98" w:rsidP="00B66E98">
      <w:pPr>
        <w:rPr>
          <w:rFonts w:ascii="Times New Roman" w:eastAsia="Times New Roman" w:hAnsi="Times New Roman" w:cs="Times New Roman"/>
          <w:sz w:val="18"/>
          <w:szCs w:val="18"/>
        </w:rPr>
      </w:pPr>
    </w:p>
    <w:p w:rsidR="00B66E98" w:rsidRPr="00F543B5" w:rsidRDefault="00B66E98" w:rsidP="00F543B5">
      <w:pPr>
        <w:pStyle w:val="Heading1"/>
        <w:rPr>
          <w:rFonts w:ascii="Times New Roman" w:hAnsi="Times New Roman" w:cs="Times New Roman"/>
        </w:rPr>
      </w:pPr>
      <w:r w:rsidRPr="00F543B5">
        <w:rPr>
          <w:rFonts w:ascii="Times New Roman" w:hAnsi="Times New Roman" w:cs="Times New Roman"/>
        </w:rPr>
        <w:lastRenderedPageBreak/>
        <w:t xml:space="preserve">State Program </w:t>
      </w:r>
      <w:r w:rsidR="00141222" w:rsidRPr="00F543B5">
        <w:rPr>
          <w:rFonts w:ascii="Times New Roman" w:hAnsi="Times New Roman" w:cs="Times New Roman"/>
        </w:rPr>
        <w:t>for</w:t>
      </w:r>
      <w:r w:rsidRPr="00F543B5">
        <w:rPr>
          <w:rFonts w:ascii="Times New Roman" w:hAnsi="Times New Roman" w:cs="Times New Roman"/>
        </w:rPr>
        <w:t xml:space="preserve"> Rare Diseases  </w:t>
      </w:r>
    </w:p>
    <w:p w:rsidR="00B66E98" w:rsidRPr="004B2420" w:rsidRDefault="00B66E98" w:rsidP="00B66E98">
      <w:pPr>
        <w:spacing w:after="0" w:line="240" w:lineRule="auto"/>
        <w:jc w:val="both"/>
        <w:rPr>
          <w:rFonts w:ascii="Times New Roman" w:hAnsi="Times New Roman" w:cs="Times New Roman"/>
          <w:b/>
          <w:sz w:val="24"/>
          <w:szCs w:val="24"/>
        </w:rPr>
      </w:pPr>
    </w:p>
    <w:p w:rsidR="00B66E98" w:rsidRPr="00F543B5" w:rsidRDefault="00B66E98" w:rsidP="00141222">
      <w:pPr>
        <w:pStyle w:val="ListParagraph"/>
        <w:numPr>
          <w:ilvl w:val="0"/>
          <w:numId w:val="22"/>
        </w:numPr>
        <w:rPr>
          <w:rFonts w:ascii="Times New Roman" w:hAnsi="Times New Roman" w:cs="Times New Roman"/>
          <w:sz w:val="24"/>
          <w:szCs w:val="24"/>
        </w:rPr>
      </w:pPr>
      <w:r w:rsidRPr="00141222">
        <w:rPr>
          <w:rFonts w:ascii="Times New Roman" w:hAnsi="Times New Roman" w:cs="Times New Roman"/>
          <w:sz w:val="24"/>
          <w:szCs w:val="24"/>
        </w:rPr>
        <w:t>In 2014-2015, 4 new medicines, 7 new diseases</w:t>
      </w:r>
      <w:r w:rsidR="00141222" w:rsidRPr="00141222">
        <w:rPr>
          <w:rFonts w:ascii="Times New Roman" w:hAnsi="Times New Roman" w:cs="Times New Roman"/>
          <w:sz w:val="24"/>
          <w:szCs w:val="24"/>
        </w:rPr>
        <w:t xml:space="preserve"> </w:t>
      </w:r>
      <w:r w:rsidRPr="00141222">
        <w:rPr>
          <w:rFonts w:ascii="Times New Roman" w:hAnsi="Times New Roman" w:cs="Times New Roman"/>
          <w:sz w:val="24"/>
          <w:szCs w:val="24"/>
        </w:rPr>
        <w:t xml:space="preserve">and physiotherapy services </w:t>
      </w:r>
      <w:r w:rsidR="00141222" w:rsidRPr="00141222">
        <w:rPr>
          <w:rFonts w:ascii="Times New Roman" w:hAnsi="Times New Roman" w:cs="Times New Roman"/>
          <w:sz w:val="24"/>
          <w:szCs w:val="24"/>
        </w:rPr>
        <w:t>for patients with hemophilia were added to the State Program of Rare Diseases.</w:t>
      </w:r>
    </w:p>
    <w:p w:rsidR="00B66E98" w:rsidRPr="004B2420" w:rsidRDefault="00B66E98" w:rsidP="00B66E98">
      <w:pPr>
        <w:pStyle w:val="ListParagraph"/>
        <w:numPr>
          <w:ilvl w:val="0"/>
          <w:numId w:val="8"/>
        </w:numPr>
        <w:spacing w:after="0" w:line="240" w:lineRule="auto"/>
        <w:ind w:left="709"/>
        <w:jc w:val="both"/>
        <w:rPr>
          <w:rFonts w:ascii="Times New Roman" w:hAnsi="Times New Roman" w:cs="Times New Roman"/>
          <w:sz w:val="24"/>
          <w:szCs w:val="24"/>
        </w:rPr>
      </w:pPr>
      <w:r w:rsidRPr="004B2420">
        <w:rPr>
          <w:rFonts w:ascii="Times New Roman" w:hAnsi="Times New Roman" w:cs="Times New Roman"/>
          <w:sz w:val="24"/>
          <w:szCs w:val="24"/>
        </w:rPr>
        <w:t>Since 1</w:t>
      </w:r>
      <w:r w:rsidRPr="004B2420">
        <w:rPr>
          <w:rFonts w:ascii="Times New Roman" w:hAnsi="Times New Roman" w:cs="Times New Roman"/>
          <w:sz w:val="24"/>
          <w:szCs w:val="24"/>
          <w:vertAlign w:val="superscript"/>
        </w:rPr>
        <w:t>st</w:t>
      </w:r>
      <w:r w:rsidRPr="004B2420">
        <w:rPr>
          <w:rFonts w:ascii="Times New Roman" w:hAnsi="Times New Roman" w:cs="Times New Roman"/>
          <w:sz w:val="24"/>
          <w:szCs w:val="24"/>
        </w:rPr>
        <w:t xml:space="preserve"> June, 2017 the Ministry of Labour, Health and Social Affairs of Georgia within the Referral Service State Program provides patients suffering fr</w:t>
      </w:r>
      <w:r w:rsidR="00F821BC">
        <w:rPr>
          <w:rFonts w:ascii="Times New Roman" w:hAnsi="Times New Roman" w:cs="Times New Roman"/>
          <w:sz w:val="24"/>
          <w:szCs w:val="24"/>
        </w:rPr>
        <w:t xml:space="preserve">om one of the severe disease - </w:t>
      </w:r>
      <w:r w:rsidRPr="004B2420">
        <w:rPr>
          <w:rFonts w:ascii="Times New Roman" w:hAnsi="Times New Roman" w:cs="Times New Roman"/>
          <w:sz w:val="24"/>
          <w:szCs w:val="24"/>
        </w:rPr>
        <w:t>Idiopathic Pulmonary Fibrosis with medicine Pirfenidone (Esbriet). From January 1, 2019, the purchase of medicines is fully covered</w:t>
      </w:r>
      <w:r w:rsidR="00141222">
        <w:rPr>
          <w:rFonts w:ascii="Times New Roman" w:hAnsi="Times New Roman" w:cs="Times New Roman"/>
          <w:sz w:val="24"/>
          <w:szCs w:val="24"/>
        </w:rPr>
        <w:t xml:space="preserve"> </w:t>
      </w:r>
      <w:r w:rsidRPr="004B2420">
        <w:rPr>
          <w:rFonts w:ascii="Times New Roman" w:hAnsi="Times New Roman" w:cs="Times New Roman"/>
          <w:sz w:val="24"/>
          <w:szCs w:val="24"/>
        </w:rPr>
        <w:t xml:space="preserve">within the framework of the state program </w:t>
      </w:r>
      <w:r w:rsidR="00141222">
        <w:rPr>
          <w:rFonts w:ascii="Times New Roman" w:hAnsi="Times New Roman" w:cs="Times New Roman"/>
          <w:sz w:val="24"/>
          <w:szCs w:val="24"/>
        </w:rPr>
        <w:t>for</w:t>
      </w:r>
      <w:r w:rsidRPr="004B2420">
        <w:rPr>
          <w:rFonts w:ascii="Times New Roman" w:hAnsi="Times New Roman" w:cs="Times New Roman"/>
          <w:sz w:val="24"/>
          <w:szCs w:val="24"/>
        </w:rPr>
        <w:t xml:space="preserve"> rare diseases.</w:t>
      </w:r>
    </w:p>
    <w:p w:rsidR="00B66E98" w:rsidRPr="004B2420" w:rsidRDefault="00B66E98" w:rsidP="00CC7E43">
      <w:pPr>
        <w:pStyle w:val="ListParagraph"/>
        <w:spacing w:after="0" w:line="240" w:lineRule="auto"/>
        <w:ind w:left="709"/>
        <w:jc w:val="both"/>
        <w:rPr>
          <w:rFonts w:ascii="Times New Roman" w:hAnsi="Times New Roman" w:cs="Times New Roman"/>
          <w:b/>
          <w:sz w:val="24"/>
          <w:szCs w:val="24"/>
        </w:rPr>
      </w:pPr>
    </w:p>
    <w:p w:rsidR="00B66E98" w:rsidRPr="00F543B5" w:rsidRDefault="00B66E98" w:rsidP="00CC7E43">
      <w:pPr>
        <w:pStyle w:val="Heading1"/>
        <w:spacing w:before="0"/>
        <w:rPr>
          <w:rFonts w:ascii="Times New Roman" w:hAnsi="Times New Roman" w:cs="Times New Roman"/>
        </w:rPr>
      </w:pPr>
      <w:r w:rsidRPr="00F543B5">
        <w:rPr>
          <w:rFonts w:ascii="Times New Roman" w:hAnsi="Times New Roman" w:cs="Times New Roman"/>
        </w:rPr>
        <w:t>Mental Health State Program</w:t>
      </w:r>
    </w:p>
    <w:p w:rsidR="00B66E98" w:rsidRPr="004B2420" w:rsidRDefault="00B66E98" w:rsidP="00B66E98">
      <w:pPr>
        <w:pStyle w:val="ListParagraph"/>
        <w:spacing w:after="0" w:line="240" w:lineRule="auto"/>
        <w:jc w:val="both"/>
        <w:rPr>
          <w:rFonts w:ascii="Times New Roman" w:hAnsi="Times New Roman" w:cs="Times New Roman"/>
          <w:b/>
          <w:sz w:val="24"/>
          <w:szCs w:val="24"/>
        </w:rPr>
      </w:pPr>
    </w:p>
    <w:p w:rsidR="00B66E98" w:rsidRPr="004B2420" w:rsidRDefault="00B66E98" w:rsidP="00B66E98">
      <w:pPr>
        <w:pStyle w:val="ListParagraph"/>
        <w:numPr>
          <w:ilvl w:val="0"/>
          <w:numId w:val="9"/>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shd w:val="clear" w:color="auto" w:fill="FFFFFF"/>
        </w:rPr>
        <w:t xml:space="preserve">In 2018, the State budget of the Mental Health Program has been increased by 5 million and comprised 21 million in total. </w:t>
      </w:r>
    </w:p>
    <w:p w:rsidR="00B66E98" w:rsidRPr="004B2420" w:rsidRDefault="00B66E98" w:rsidP="00B66E98">
      <w:pPr>
        <w:pStyle w:val="ListParagraph"/>
        <w:numPr>
          <w:ilvl w:val="0"/>
          <w:numId w:val="9"/>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shd w:val="clear" w:color="auto" w:fill="FFFFFF"/>
        </w:rPr>
        <w:t xml:space="preserve">Financing of community-based services has increased. In particular, 54% of the budget resources </w:t>
      </w:r>
      <w:r w:rsidR="007A6F20">
        <w:rPr>
          <w:rFonts w:ascii="Times New Roman" w:hAnsi="Times New Roman" w:cs="Times New Roman"/>
          <w:sz w:val="24"/>
          <w:szCs w:val="24"/>
          <w:shd w:val="clear" w:color="auto" w:fill="FFFFFF"/>
        </w:rPr>
        <w:t>have</w:t>
      </w:r>
      <w:r w:rsidR="00141222">
        <w:rPr>
          <w:rFonts w:ascii="Times New Roman" w:hAnsi="Times New Roman" w:cs="Times New Roman"/>
          <w:sz w:val="24"/>
          <w:szCs w:val="24"/>
          <w:shd w:val="clear" w:color="auto" w:fill="FFFFFF"/>
        </w:rPr>
        <w:t xml:space="preserve"> been</w:t>
      </w:r>
      <w:r w:rsidRPr="004B2420">
        <w:rPr>
          <w:rFonts w:ascii="Times New Roman" w:hAnsi="Times New Roman" w:cs="Times New Roman"/>
          <w:sz w:val="24"/>
          <w:szCs w:val="24"/>
          <w:shd w:val="clear" w:color="auto" w:fill="FFFFFF"/>
        </w:rPr>
        <w:t xml:space="preserve"> directed to community-based services. The budget of the community-based mental health services was determined in accordance with the number of population in bounded area, also throughout the country 11 community-based mobile teams were involved in the program  (in 2017 only 3 mobile teams were financed). The budget for each mobile team was increased and as a result, more beneficiaries were able to  use the mental health services in Tbilisi and in the regions as well. </w:t>
      </w:r>
    </w:p>
    <w:p w:rsidR="00B66E98" w:rsidRPr="007A6F20" w:rsidRDefault="00B66E98" w:rsidP="007A6F20">
      <w:pPr>
        <w:pStyle w:val="ListParagraph"/>
        <w:numPr>
          <w:ilvl w:val="0"/>
          <w:numId w:val="9"/>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rPr>
        <w:t>Under the new financial conditions, balance between the community and hospital services is 40-60%, which is defined by the Strategic Development Plan for Mental Health 2015-2020.</w:t>
      </w:r>
    </w:p>
    <w:p w:rsidR="00B66E98" w:rsidRPr="004B2420" w:rsidRDefault="00B66E98" w:rsidP="00B66E98">
      <w:pPr>
        <w:pStyle w:val="ListParagraph"/>
        <w:jc w:val="both"/>
        <w:rPr>
          <w:rFonts w:ascii="Times New Roman" w:hAnsi="Times New Roman" w:cs="Times New Roman"/>
          <w:color w:val="000000"/>
          <w:shd w:val="clear" w:color="auto" w:fill="FFFFFF"/>
          <w:lang w:val="ka-GE"/>
        </w:rPr>
      </w:pPr>
      <w:r w:rsidRPr="004B2420">
        <w:rPr>
          <w:rFonts w:ascii="Times New Roman" w:hAnsi="Times New Roman" w:cs="Times New Roman"/>
          <w:noProof/>
        </w:rPr>
        <w:drawing>
          <wp:inline distT="0" distB="0" distL="0" distR="0">
            <wp:extent cx="5129893" cy="2079172"/>
            <wp:effectExtent l="19050" t="0" r="13607"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6E98" w:rsidRPr="004B2420" w:rsidRDefault="00B66E98" w:rsidP="00B66E98">
      <w:pPr>
        <w:pStyle w:val="ListParagraph"/>
        <w:rPr>
          <w:rFonts w:ascii="Times New Roman" w:eastAsia="Times New Roman" w:hAnsi="Times New Roman" w:cs="Times New Roman"/>
          <w:b/>
          <w:color w:val="000000"/>
          <w:lang w:val="ka-GE"/>
        </w:rPr>
      </w:pPr>
    </w:p>
    <w:p w:rsidR="00B66E98" w:rsidRPr="004B2420" w:rsidRDefault="00B66E98" w:rsidP="00B66E98">
      <w:pPr>
        <w:pStyle w:val="ListParagraph"/>
        <w:rPr>
          <w:rFonts w:ascii="Times New Roman" w:eastAsia="Times New Roman" w:hAnsi="Times New Roman" w:cs="Times New Roman"/>
          <w:b/>
          <w:color w:val="000000"/>
          <w:lang w:val="ka-GE"/>
        </w:rPr>
      </w:pPr>
      <w:r w:rsidRPr="004B2420">
        <w:rPr>
          <w:rFonts w:ascii="Times New Roman" w:hAnsi="Times New Roman" w:cs="Times New Roman"/>
          <w:noProof/>
        </w:rPr>
        <w:lastRenderedPageBreak/>
        <w:drawing>
          <wp:inline distT="0" distB="0" distL="0" distR="0">
            <wp:extent cx="4814207" cy="1932214"/>
            <wp:effectExtent l="19050" t="0" r="24493"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6E98" w:rsidRPr="004B2420" w:rsidRDefault="00B66E98" w:rsidP="00B66E98">
      <w:pPr>
        <w:spacing w:after="0" w:line="240" w:lineRule="auto"/>
        <w:jc w:val="both"/>
        <w:rPr>
          <w:rFonts w:ascii="Times New Roman" w:hAnsi="Times New Roman" w:cs="Times New Roman"/>
          <w:sz w:val="18"/>
          <w:szCs w:val="18"/>
          <w:shd w:val="clear" w:color="auto" w:fill="FFFFFF"/>
        </w:rPr>
      </w:pPr>
      <w:r w:rsidRPr="004B2420">
        <w:rPr>
          <w:rFonts w:ascii="Times New Roman" w:hAnsi="Times New Roman" w:cs="Times New Roman"/>
          <w:b/>
          <w:bCs/>
          <w:color w:val="C00000"/>
          <w:lang w:val="ka-GE"/>
        </w:rPr>
        <w:t>              </w:t>
      </w:r>
      <w:r w:rsidRPr="004B2420">
        <w:rPr>
          <w:rFonts w:ascii="Times New Roman" w:hAnsi="Times New Roman" w:cs="Times New Roman"/>
          <w:bCs/>
          <w:sz w:val="18"/>
          <w:szCs w:val="18"/>
        </w:rPr>
        <w:t>Source: SSA</w:t>
      </w:r>
    </w:p>
    <w:p w:rsidR="00B66E98" w:rsidRPr="004B2420" w:rsidRDefault="00B66E98" w:rsidP="00B66E98">
      <w:pPr>
        <w:spacing w:after="0" w:line="240" w:lineRule="auto"/>
        <w:jc w:val="both"/>
        <w:rPr>
          <w:rFonts w:ascii="Times New Roman" w:hAnsi="Times New Roman" w:cs="Times New Roman"/>
          <w:sz w:val="24"/>
          <w:szCs w:val="24"/>
          <w:shd w:val="clear" w:color="auto" w:fill="FFFFFF"/>
        </w:rPr>
      </w:pPr>
    </w:p>
    <w:p w:rsidR="00B66E98" w:rsidRPr="004B2420" w:rsidRDefault="00B66E98" w:rsidP="00B66E98">
      <w:pPr>
        <w:spacing w:after="0" w:line="240" w:lineRule="auto"/>
        <w:jc w:val="both"/>
        <w:rPr>
          <w:rFonts w:ascii="Times New Roman" w:hAnsi="Times New Roman" w:cs="Times New Roman"/>
          <w:sz w:val="24"/>
          <w:szCs w:val="24"/>
          <w:shd w:val="clear" w:color="auto" w:fill="FFFFFF"/>
        </w:rPr>
      </w:pPr>
    </w:p>
    <w:p w:rsidR="00B66E98" w:rsidRPr="00F543B5" w:rsidRDefault="00B66E98" w:rsidP="00F543B5">
      <w:pPr>
        <w:pStyle w:val="Heading1"/>
        <w:spacing w:before="0" w:line="240" w:lineRule="auto"/>
        <w:rPr>
          <w:rFonts w:ascii="Times New Roman" w:hAnsi="Times New Roman" w:cs="Times New Roman"/>
        </w:rPr>
      </w:pPr>
      <w:r w:rsidRPr="00F543B5">
        <w:rPr>
          <w:rFonts w:ascii="Times New Roman" w:hAnsi="Times New Roman" w:cs="Times New Roman"/>
        </w:rPr>
        <w:t xml:space="preserve">State Program for the Treatment of Drug Abuse </w:t>
      </w:r>
    </w:p>
    <w:p w:rsidR="00B66E98" w:rsidRPr="004B2420" w:rsidRDefault="00B66E98" w:rsidP="00B66E98">
      <w:pPr>
        <w:spacing w:after="0" w:line="240" w:lineRule="auto"/>
        <w:jc w:val="both"/>
        <w:rPr>
          <w:rFonts w:ascii="Times New Roman" w:hAnsi="Times New Roman" w:cs="Times New Roman"/>
          <w:b/>
          <w:bCs/>
          <w:sz w:val="24"/>
          <w:szCs w:val="24"/>
          <w:lang w:val="ka-GE"/>
        </w:rPr>
      </w:pPr>
    </w:p>
    <w:p w:rsidR="00B66E98" w:rsidRPr="004B2420" w:rsidRDefault="00B66E98" w:rsidP="00B66E98">
      <w:p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The state program for treatment of </w:t>
      </w:r>
      <w:r w:rsidR="007A6F20">
        <w:rPr>
          <w:rFonts w:ascii="Times New Roman" w:hAnsi="Times New Roman" w:cs="Times New Roman"/>
          <w:sz w:val="24"/>
          <w:szCs w:val="24"/>
        </w:rPr>
        <w:t xml:space="preserve">patients struggling with </w:t>
      </w:r>
      <w:r w:rsidRPr="004B2420">
        <w:rPr>
          <w:rFonts w:ascii="Times New Roman" w:hAnsi="Times New Roman" w:cs="Times New Roman"/>
          <w:sz w:val="24"/>
          <w:szCs w:val="24"/>
        </w:rPr>
        <w:t>drug</w:t>
      </w:r>
      <w:r w:rsidR="007A6F20">
        <w:rPr>
          <w:rFonts w:ascii="Times New Roman" w:hAnsi="Times New Roman" w:cs="Times New Roman"/>
          <w:sz w:val="24"/>
          <w:szCs w:val="24"/>
        </w:rPr>
        <w:t xml:space="preserve"> abuse and addiction, has been carried out since 2005. The program covers</w:t>
      </w:r>
      <w:r w:rsidRPr="004B2420">
        <w:rPr>
          <w:rFonts w:ascii="Times New Roman" w:hAnsi="Times New Roman" w:cs="Times New Roman"/>
          <w:sz w:val="24"/>
          <w:szCs w:val="24"/>
        </w:rPr>
        <w:t xml:space="preserve"> hospital detoxification and primary rehabilitation, as well as replacement therapy with methadone and suboxone.</w:t>
      </w:r>
    </w:p>
    <w:p w:rsidR="00B66E98" w:rsidRPr="004B2420" w:rsidRDefault="00B66E98" w:rsidP="00B66E98">
      <w:pPr>
        <w:pStyle w:val="ListParagraph"/>
        <w:numPr>
          <w:ilvl w:val="0"/>
          <w:numId w:val="11"/>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Within the program</w:t>
      </w:r>
      <w:r w:rsidR="00141222">
        <w:rPr>
          <w:rFonts w:ascii="Times New Roman" w:hAnsi="Times New Roman" w:cs="Times New Roman"/>
          <w:sz w:val="24"/>
          <w:szCs w:val="24"/>
        </w:rPr>
        <w:t xml:space="preserve">, </w:t>
      </w:r>
      <w:r w:rsidRPr="004B2420">
        <w:rPr>
          <w:rFonts w:ascii="Times New Roman" w:hAnsi="Times New Roman" w:cs="Times New Roman"/>
          <w:sz w:val="24"/>
          <w:szCs w:val="24"/>
        </w:rPr>
        <w:t>the amount of co-payment by the patient was GEL 110 in 2013. From July 1, 2017, the state fully covers replacement program, which previously was funded by the Global Fund and in parallel all beneficiaries are fully released from co-payment.</w:t>
      </w:r>
    </w:p>
    <w:p w:rsidR="00B66E98" w:rsidRPr="004B2420" w:rsidRDefault="00B66E98" w:rsidP="00B66E98">
      <w:pPr>
        <w:pStyle w:val="ListParagraph"/>
        <w:numPr>
          <w:ilvl w:val="0"/>
          <w:numId w:val="10"/>
        </w:numPr>
        <w:spacing w:after="0" w:line="240" w:lineRule="auto"/>
        <w:jc w:val="both"/>
        <w:rPr>
          <w:rFonts w:ascii="Times New Roman" w:hAnsi="Times New Roman" w:cs="Times New Roman"/>
          <w:sz w:val="24"/>
          <w:szCs w:val="24"/>
          <w:lang w:val="ka-GE"/>
        </w:rPr>
      </w:pPr>
      <w:r w:rsidRPr="004B2420">
        <w:rPr>
          <w:rFonts w:ascii="Times New Roman" w:hAnsi="Times New Roman" w:cs="Times New Roman"/>
          <w:sz w:val="24"/>
          <w:szCs w:val="24"/>
        </w:rPr>
        <w:t xml:space="preserve">The services are provided in Tbilisi and in the regions of Georgia </w:t>
      </w:r>
    </w:p>
    <w:p w:rsidR="00B66E98" w:rsidRPr="004B2420" w:rsidRDefault="00B66E98" w:rsidP="00B66E98">
      <w:pPr>
        <w:pStyle w:val="ListParagraph"/>
        <w:numPr>
          <w:ilvl w:val="0"/>
          <w:numId w:val="10"/>
        </w:numPr>
        <w:spacing w:after="0" w:line="240" w:lineRule="auto"/>
        <w:jc w:val="both"/>
        <w:rPr>
          <w:rFonts w:ascii="Times New Roman" w:hAnsi="Times New Roman" w:cs="Times New Roman"/>
          <w:sz w:val="24"/>
          <w:szCs w:val="24"/>
          <w:lang w:val="ka-GE"/>
        </w:rPr>
      </w:pPr>
      <w:r w:rsidRPr="004B2420">
        <w:rPr>
          <w:rStyle w:val="shorttext"/>
          <w:rFonts w:ascii="Times New Roman" w:hAnsi="Times New Roman" w:cs="Times New Roman"/>
          <w:sz w:val="24"/>
          <w:szCs w:val="24"/>
        </w:rPr>
        <w:t xml:space="preserve">The upper limit of patients’ acceptance is being canceled. </w:t>
      </w:r>
    </w:p>
    <w:p w:rsidR="00B66E98" w:rsidRPr="004B2420" w:rsidRDefault="00B66E98" w:rsidP="00B66E98">
      <w:pPr>
        <w:pStyle w:val="ListParagraph"/>
        <w:numPr>
          <w:ilvl w:val="0"/>
          <w:numId w:val="10"/>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rPr>
        <w:t>The release of beneficiaries from co-payment resulted in significant increase of the number of patients’ first and repeated enrolment in the program</w:t>
      </w:r>
      <w:r w:rsidRPr="004B2420">
        <w:rPr>
          <w:rStyle w:val="shorttext"/>
          <w:rFonts w:ascii="Times New Roman" w:hAnsi="Times New Roman" w:cs="Times New Roman"/>
          <w:sz w:val="24"/>
          <w:szCs w:val="24"/>
        </w:rPr>
        <w:t xml:space="preserve"> and </w:t>
      </w:r>
      <w:r w:rsidR="007A6F20">
        <w:rPr>
          <w:rStyle w:val="shorttext"/>
          <w:rFonts w:ascii="Times New Roman" w:hAnsi="Times New Roman" w:cs="Times New Roman"/>
          <w:sz w:val="24"/>
          <w:szCs w:val="24"/>
        </w:rPr>
        <w:t>more than 9000 beneficiaries were</w:t>
      </w:r>
      <w:r w:rsidRPr="004B2420">
        <w:rPr>
          <w:rStyle w:val="shorttext"/>
          <w:rFonts w:ascii="Times New Roman" w:hAnsi="Times New Roman" w:cs="Times New Roman"/>
          <w:sz w:val="24"/>
          <w:szCs w:val="24"/>
        </w:rPr>
        <w:t xml:space="preserve"> able to use the replacement therapy</w:t>
      </w:r>
      <w:r w:rsidRPr="004B2420">
        <w:rPr>
          <w:rFonts w:ascii="Times New Roman" w:hAnsi="Times New Roman" w:cs="Times New Roman"/>
          <w:sz w:val="24"/>
          <w:szCs w:val="24"/>
        </w:rPr>
        <w:t xml:space="preserve">.  </w:t>
      </w:r>
    </w:p>
    <w:p w:rsidR="00B66E98" w:rsidRPr="007A6F20" w:rsidRDefault="00B66E98" w:rsidP="007A6F20">
      <w:pPr>
        <w:spacing w:after="0" w:line="240" w:lineRule="auto"/>
        <w:jc w:val="both"/>
        <w:rPr>
          <w:rFonts w:ascii="Times New Roman" w:hAnsi="Times New Roman" w:cs="Times New Roman"/>
          <w:sz w:val="24"/>
          <w:szCs w:val="24"/>
          <w:shd w:val="clear" w:color="auto" w:fill="FFFFFF"/>
        </w:rPr>
      </w:pPr>
    </w:p>
    <w:p w:rsidR="00B66E98" w:rsidRPr="00F543B5" w:rsidRDefault="00B66E98" w:rsidP="00F543B5">
      <w:pPr>
        <w:pStyle w:val="Heading1"/>
        <w:spacing w:before="0" w:line="240" w:lineRule="auto"/>
        <w:rPr>
          <w:rFonts w:ascii="Times New Roman" w:hAnsi="Times New Roman" w:cs="Times New Roman"/>
          <w:shd w:val="clear" w:color="auto" w:fill="FFFFFF"/>
        </w:rPr>
      </w:pPr>
      <w:r w:rsidRPr="00F543B5">
        <w:rPr>
          <w:rFonts w:ascii="Times New Roman" w:hAnsi="Times New Roman" w:cs="Times New Roman"/>
          <w:shd w:val="clear" w:color="auto" w:fill="FFFFFF"/>
        </w:rPr>
        <w:t xml:space="preserve">Maternal and Child Health </w:t>
      </w:r>
    </w:p>
    <w:p w:rsidR="00B66E98" w:rsidRPr="004B2420" w:rsidRDefault="00B66E98" w:rsidP="00B66E98">
      <w:pPr>
        <w:pStyle w:val="ListParagraph"/>
        <w:spacing w:after="0" w:line="240" w:lineRule="auto"/>
        <w:jc w:val="both"/>
        <w:rPr>
          <w:rFonts w:ascii="Times New Roman" w:hAnsi="Times New Roman" w:cs="Times New Roman"/>
          <w:b/>
          <w:noProof/>
          <w:sz w:val="24"/>
          <w:szCs w:val="24"/>
        </w:rPr>
      </w:pPr>
    </w:p>
    <w:p w:rsidR="00B66E98" w:rsidRPr="004B2420" w:rsidRDefault="00B66E98" w:rsidP="00B66E98">
      <w:pPr>
        <w:pStyle w:val="ListParagraph"/>
        <w:numPr>
          <w:ilvl w:val="0"/>
          <w:numId w:val="12"/>
        </w:numPr>
        <w:spacing w:after="0" w:line="240" w:lineRule="auto"/>
        <w:jc w:val="both"/>
        <w:rPr>
          <w:rFonts w:ascii="Times New Roman" w:hAnsi="Times New Roman" w:cs="Times New Roman"/>
          <w:b/>
          <w:noProof/>
          <w:sz w:val="24"/>
          <w:szCs w:val="24"/>
        </w:rPr>
      </w:pPr>
      <w:r w:rsidRPr="004B2420">
        <w:rPr>
          <w:rFonts w:ascii="Times New Roman" w:hAnsi="Times New Roman" w:cs="Times New Roman"/>
          <w:kern w:val="24"/>
          <w:sz w:val="24"/>
          <w:szCs w:val="24"/>
          <w:lang w:val="en-GB" w:eastAsia="ka-GE"/>
        </w:rPr>
        <w:t xml:space="preserve">Georgia managed to reduce under–five mortality rate to 10.2 per 1000 live births by 2015 thus accomplishing the Millennium Development Goal №4 (MDG) set at the 2000 Millennium Summit: Reduce by two-thirds, between 1990 and 2015, the under-five mortality rate. </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sz w:val="24"/>
          <w:szCs w:val="24"/>
        </w:rPr>
        <w:t>In 2015</w:t>
      </w:r>
      <w:r w:rsidR="007A6F20">
        <w:rPr>
          <w:rFonts w:ascii="Times New Roman" w:hAnsi="Times New Roman" w:cs="Times New Roman"/>
          <w:sz w:val="24"/>
          <w:szCs w:val="24"/>
        </w:rPr>
        <w:t>, the</w:t>
      </w:r>
      <w:r w:rsidRPr="004B2420">
        <w:rPr>
          <w:rFonts w:ascii="Times New Roman" w:hAnsi="Times New Roman" w:cs="Times New Roman"/>
          <w:sz w:val="24"/>
          <w:szCs w:val="24"/>
        </w:rPr>
        <w:t xml:space="preserve"> </w:t>
      </w:r>
      <w:r w:rsidRPr="004B2420">
        <w:rPr>
          <w:rFonts w:ascii="Times New Roman" w:hAnsi="Times New Roman" w:cs="Times New Roman"/>
          <w:kern w:val="24"/>
          <w:sz w:val="24"/>
          <w:szCs w:val="24"/>
          <w:lang w:val="en-GB" w:eastAsia="ka-GE"/>
        </w:rPr>
        <w:t>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w:t>
      </w:r>
      <w:r w:rsidR="007A6F20">
        <w:rPr>
          <w:rFonts w:ascii="Times New Roman" w:hAnsi="Times New Roman" w:cs="Times New Roman"/>
          <w:kern w:val="24"/>
          <w:sz w:val="24"/>
          <w:szCs w:val="24"/>
          <w:lang w:val="en-GB" w:eastAsia="ka-GE"/>
        </w:rPr>
        <w:t xml:space="preserve"> </w:t>
      </w:r>
      <w:r w:rsidRPr="004B2420">
        <w:rPr>
          <w:rFonts w:ascii="Times New Roman" w:hAnsi="Times New Roman" w:cs="Times New Roman"/>
          <w:sz w:val="24"/>
          <w:szCs w:val="24"/>
        </w:rPr>
        <w:t xml:space="preserve">Also, selective contracting of perinatal care providers has been </w:t>
      </w:r>
      <w:r w:rsidR="007A6F20">
        <w:rPr>
          <w:rFonts w:ascii="Times New Roman" w:hAnsi="Times New Roman" w:cs="Times New Roman"/>
          <w:sz w:val="24"/>
          <w:szCs w:val="24"/>
        </w:rPr>
        <w:t>launched</w:t>
      </w:r>
      <w:r w:rsidRPr="004B2420">
        <w:rPr>
          <w:rFonts w:ascii="Times New Roman" w:hAnsi="Times New Roman" w:cs="Times New Roman"/>
          <w:sz w:val="24"/>
          <w:szCs w:val="24"/>
        </w:rPr>
        <w:t>.</w:t>
      </w:r>
      <w:r w:rsidR="007A6F20">
        <w:rPr>
          <w:rFonts w:ascii="Times New Roman" w:hAnsi="Times New Roman" w:cs="Times New Roman"/>
          <w:sz w:val="24"/>
          <w:szCs w:val="24"/>
        </w:rPr>
        <w:t xml:space="preserve"> </w:t>
      </w:r>
      <w:r w:rsidRPr="004B2420">
        <w:rPr>
          <w:rFonts w:ascii="Times New Roman" w:hAnsi="Times New Roman" w:cs="Times New Roman"/>
          <w:sz w:val="24"/>
          <w:szCs w:val="24"/>
        </w:rPr>
        <w:t>In 2017, the lowest mortality rate of maternal mortality has been observed in recent years – 13.</w:t>
      </w:r>
      <w:r w:rsidRPr="004B2420">
        <w:rPr>
          <w:rFonts w:ascii="Times New Roman" w:hAnsi="Times New Roman" w:cs="Times New Roman"/>
          <w:sz w:val="24"/>
          <w:szCs w:val="24"/>
          <w:lang w:val="ka-GE"/>
        </w:rPr>
        <w:t>1</w:t>
      </w:r>
      <w:r w:rsidRPr="004B2420">
        <w:rPr>
          <w:rFonts w:ascii="Times New Roman" w:hAnsi="Times New Roman" w:cs="Times New Roman"/>
          <w:sz w:val="24"/>
          <w:szCs w:val="24"/>
        </w:rPr>
        <w:t xml:space="preserve"> /100 000 </w:t>
      </w:r>
      <w:r w:rsidR="007A6F20" w:rsidRPr="004B2420">
        <w:rPr>
          <w:rFonts w:ascii="Times New Roman" w:hAnsi="Times New Roman" w:cs="Times New Roman"/>
          <w:sz w:val="24"/>
          <w:szCs w:val="24"/>
        </w:rPr>
        <w:t>live birth</w:t>
      </w:r>
      <w:r w:rsidRPr="004B2420">
        <w:rPr>
          <w:rFonts w:ascii="Times New Roman" w:hAnsi="Times New Roman" w:cs="Times New Roman"/>
          <w:sz w:val="24"/>
          <w:szCs w:val="24"/>
        </w:rPr>
        <w:t>.</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b/>
          <w:noProof/>
          <w:sz w:val="24"/>
          <w:szCs w:val="24"/>
        </w:rPr>
      </w:pPr>
      <w:r w:rsidRPr="004B2420">
        <w:rPr>
          <w:rFonts w:ascii="Times New Roman" w:hAnsi="Times New Roman" w:cs="Times New Roman"/>
          <w:kern w:val="24"/>
          <w:sz w:val="24"/>
          <w:szCs w:val="24"/>
          <w:lang w:val="en-GB" w:eastAsia="ka-GE"/>
        </w:rPr>
        <w:t>In 2017, a comprehensive long-term (2017-2030) Maternal and Newborn Health Care Strategy has been approved, which defines next 14 years’ state policy of maternal and new born health, family planning, sexual and reproductive health.</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kern w:val="24"/>
          <w:sz w:val="24"/>
          <w:szCs w:val="24"/>
          <w:lang w:val="en-GB" w:eastAsia="ka-GE"/>
        </w:rPr>
        <w:lastRenderedPageBreak/>
        <w:t>From June 2014, all pregnant women, before the 13</w:t>
      </w:r>
      <w:r w:rsidRPr="004B2420">
        <w:rPr>
          <w:rFonts w:ascii="Times New Roman" w:hAnsi="Times New Roman" w:cs="Times New Roman"/>
          <w:kern w:val="24"/>
          <w:sz w:val="24"/>
          <w:szCs w:val="24"/>
          <w:vertAlign w:val="superscript"/>
          <w:lang w:val="en-GB" w:eastAsia="ka-GE"/>
        </w:rPr>
        <w:t>th</w:t>
      </w:r>
      <w:r w:rsidRPr="004B2420">
        <w:rPr>
          <w:rFonts w:ascii="Times New Roman" w:hAnsi="Times New Roman" w:cs="Times New Roman"/>
          <w:kern w:val="24"/>
          <w:sz w:val="24"/>
          <w:szCs w:val="24"/>
          <w:lang w:val="en-GB" w:eastAsia="ka-GE"/>
        </w:rPr>
        <w:t xml:space="preserve"> week of pregnancy, are provided with folic acid and iron supplements in case of iron deficiency. Newborns (6-23 months) are provided with food supplements containing microelements. </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sz w:val="24"/>
          <w:szCs w:val="24"/>
        </w:rPr>
        <w:t>In 2016, the specific treatment of pregnant women with syphilis has started.</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From 2018, pregnant womens </w:t>
      </w:r>
      <w:r w:rsidRPr="004B2420">
        <w:rPr>
          <w:rFonts w:ascii="Times New Roman" w:hAnsi="Times New Roman" w:cs="Times New Roman"/>
          <w:sz w:val="24"/>
          <w:szCs w:val="24"/>
        </w:rPr>
        <w:t>registered within</w:t>
      </w:r>
      <w:r w:rsidRPr="004B2420">
        <w:rPr>
          <w:rFonts w:ascii="Times New Roman" w:hAnsi="Times New Roman" w:cs="Times New Roman"/>
          <w:noProof/>
          <w:sz w:val="24"/>
          <w:szCs w:val="24"/>
        </w:rPr>
        <w:t xml:space="preserve"> the Antenatal Care Program are provided with 8 visits instead of 4. </w:t>
      </w:r>
      <w:r w:rsidRPr="004B2420">
        <w:rPr>
          <w:rFonts w:ascii="Times New Roman" w:hAnsi="Times New Roman" w:cs="Times New Roman"/>
          <w:sz w:val="24"/>
          <w:szCs w:val="24"/>
        </w:rPr>
        <w:t>Also, selective contracting of antenatal care providers has been started.</w:t>
      </w:r>
    </w:p>
    <w:p w:rsidR="00B66E98" w:rsidRPr="00F543B5" w:rsidRDefault="00B66E98" w:rsidP="00F543B5">
      <w:pPr>
        <w:spacing w:before="105" w:after="120" w:line="240" w:lineRule="auto"/>
        <w:rPr>
          <w:rFonts w:ascii="Times New Roman" w:hAnsi="Times New Roman" w:cs="Times New Roman"/>
          <w:i/>
          <w:color w:val="231F20"/>
          <w:sz w:val="18"/>
          <w:szCs w:val="18"/>
        </w:rPr>
      </w:pPr>
    </w:p>
    <w:p w:rsidR="00B66E98" w:rsidRPr="004B2420" w:rsidRDefault="00B66E98" w:rsidP="00B66E98">
      <w:pPr>
        <w:pStyle w:val="ListParagraph"/>
        <w:spacing w:before="105" w:after="120" w:line="240" w:lineRule="auto"/>
        <w:ind w:left="2160" w:firstLine="720"/>
        <w:jc w:val="center"/>
        <w:rPr>
          <w:rFonts w:ascii="Times New Roman" w:hAnsi="Times New Roman" w:cs="Times New Roman"/>
          <w:i/>
          <w:color w:val="231F20"/>
          <w:sz w:val="18"/>
          <w:szCs w:val="18"/>
        </w:rPr>
      </w:pPr>
      <w:r w:rsidRPr="004B2420">
        <w:rPr>
          <w:rFonts w:ascii="Times New Roman" w:hAnsi="Times New Roman" w:cs="Times New Roman"/>
          <w:i/>
          <w:color w:val="231F20"/>
          <w:sz w:val="18"/>
          <w:szCs w:val="18"/>
          <w:lang w:val="ka-GE"/>
        </w:rPr>
        <w:t>Maternal Mortality Rate by different sources of information, Georgia, 2000-201</w:t>
      </w:r>
      <w:r w:rsidRPr="004B2420">
        <w:rPr>
          <w:rFonts w:ascii="Times New Roman" w:hAnsi="Times New Roman" w:cs="Times New Roman"/>
          <w:i/>
          <w:color w:val="231F20"/>
          <w:sz w:val="18"/>
          <w:szCs w:val="18"/>
        </w:rPr>
        <w:t>7</w:t>
      </w:r>
    </w:p>
    <w:p w:rsidR="00B66E98" w:rsidRPr="004B2420" w:rsidRDefault="00B66E98" w:rsidP="00B66E98">
      <w:pPr>
        <w:pStyle w:val="ListParagraph"/>
        <w:spacing w:before="105" w:after="120" w:line="240" w:lineRule="auto"/>
        <w:ind w:left="2160" w:firstLine="720"/>
        <w:jc w:val="center"/>
        <w:rPr>
          <w:rFonts w:ascii="Times New Roman" w:hAnsi="Times New Roman" w:cs="Times New Roman"/>
          <w:i/>
          <w:color w:val="231F20"/>
          <w:sz w:val="18"/>
          <w:szCs w:val="18"/>
        </w:rPr>
      </w:pPr>
    </w:p>
    <w:p w:rsidR="00B66E98" w:rsidRPr="004B2420" w:rsidRDefault="00B66E98" w:rsidP="00F543B5">
      <w:pPr>
        <w:spacing w:before="105" w:after="120" w:line="240" w:lineRule="auto"/>
        <w:jc w:val="center"/>
        <w:rPr>
          <w:rFonts w:ascii="Times New Roman" w:hAnsi="Times New Roman" w:cs="Times New Roman"/>
          <w:sz w:val="18"/>
          <w:szCs w:val="18"/>
        </w:rPr>
      </w:pPr>
      <w:r w:rsidRPr="004B2420">
        <w:rPr>
          <w:rFonts w:ascii="Times New Roman" w:hAnsi="Times New Roman" w:cs="Times New Roman"/>
          <w:noProof/>
        </w:rPr>
        <w:drawing>
          <wp:inline distT="0" distB="0" distL="0" distR="0">
            <wp:extent cx="5075464" cy="2607129"/>
            <wp:effectExtent l="19050" t="0" r="10886" b="272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6E98" w:rsidRPr="004B2420" w:rsidRDefault="00B66E98" w:rsidP="00B66E98">
      <w:pPr>
        <w:pStyle w:val="ListParagraph"/>
        <w:spacing w:before="105" w:after="120" w:line="240" w:lineRule="auto"/>
        <w:ind w:left="2160" w:firstLine="720"/>
        <w:jc w:val="center"/>
        <w:rPr>
          <w:rFonts w:ascii="Times New Roman" w:hAnsi="Times New Roman" w:cs="Times New Roman"/>
          <w:sz w:val="18"/>
          <w:szCs w:val="18"/>
        </w:rPr>
      </w:pPr>
    </w:p>
    <w:p w:rsidR="00B66E98" w:rsidRPr="00F543B5" w:rsidRDefault="00B66E98" w:rsidP="00F543B5">
      <w:pPr>
        <w:spacing w:after="120" w:line="240" w:lineRule="auto"/>
        <w:jc w:val="both"/>
        <w:rPr>
          <w:rFonts w:ascii="Times New Roman" w:hAnsi="Times New Roman" w:cs="Times New Roman"/>
          <w:sz w:val="18"/>
          <w:szCs w:val="18"/>
        </w:rPr>
      </w:pPr>
      <w:r w:rsidRPr="004B2420">
        <w:rPr>
          <w:rFonts w:ascii="Times New Roman" w:hAnsi="Times New Roman" w:cs="Times New Roman"/>
          <w:sz w:val="18"/>
          <w:szCs w:val="18"/>
        </w:rPr>
        <w:t>Source: NCDC&amp;PH</w:t>
      </w:r>
    </w:p>
    <w:p w:rsidR="00B66E98" w:rsidRPr="00F543B5" w:rsidRDefault="00B66E98" w:rsidP="00F543B5">
      <w:pPr>
        <w:pStyle w:val="Heading1"/>
        <w:spacing w:before="0"/>
        <w:rPr>
          <w:rFonts w:ascii="Times New Roman" w:hAnsi="Times New Roman" w:cs="Times New Roman"/>
        </w:rPr>
      </w:pPr>
      <w:r w:rsidRPr="00F543B5">
        <w:rPr>
          <w:rFonts w:ascii="Times New Roman" w:hAnsi="Times New Roman" w:cs="Times New Roman"/>
        </w:rPr>
        <w:t>Immunization</w:t>
      </w:r>
    </w:p>
    <w:p w:rsidR="00B66E98" w:rsidRPr="004B2420" w:rsidRDefault="00B66E98" w:rsidP="00B66E98">
      <w:pPr>
        <w:pStyle w:val="ListParagraph"/>
        <w:spacing w:after="0" w:line="240" w:lineRule="auto"/>
        <w:jc w:val="both"/>
        <w:rPr>
          <w:rFonts w:ascii="Times New Roman" w:hAnsi="Times New Roman" w:cs="Times New Roman"/>
          <w:b/>
          <w:sz w:val="24"/>
          <w:szCs w:val="24"/>
        </w:rPr>
      </w:pP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In accordance with the national calendar, the state provides </w:t>
      </w:r>
      <w:r w:rsidR="004925EF" w:rsidRPr="004B2420">
        <w:rPr>
          <w:rFonts w:ascii="Times New Roman" w:hAnsi="Times New Roman" w:cs="Times New Roman"/>
          <w:noProof/>
          <w:sz w:val="24"/>
          <w:szCs w:val="24"/>
        </w:rPr>
        <w:t>immunazation againts 13 conditions</w:t>
      </w:r>
      <w:r w:rsidRPr="004B2420">
        <w:rPr>
          <w:rFonts w:ascii="Times New Roman" w:hAnsi="Times New Roman" w:cs="Times New Roman"/>
          <w:noProof/>
          <w:sz w:val="24"/>
          <w:szCs w:val="24"/>
        </w:rPr>
        <w:t xml:space="preserve">. </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Five new vaccines were successfully introduced in the National Immunization Calendar: rotavirus vaccine (Since 2013, the share of rotaviral diarea from 40 5 dicreased to 12% (2016); </w:t>
      </w:r>
      <w:r w:rsidRPr="004B2420">
        <w:rPr>
          <w:rStyle w:val="tgc"/>
          <w:rFonts w:ascii="Times New Roman" w:hAnsi="Times New Roman" w:cs="Times New Roman"/>
          <w:sz w:val="24"/>
          <w:szCs w:val="24"/>
        </w:rPr>
        <w:t>Pneumococcal vaccine</w:t>
      </w:r>
      <w:r w:rsidRPr="004B2420">
        <w:rPr>
          <w:rFonts w:ascii="Times New Roman" w:hAnsi="Times New Roman" w:cs="Times New Roman"/>
          <w:noProof/>
          <w:sz w:val="24"/>
          <w:szCs w:val="24"/>
        </w:rPr>
        <w:t>; Polliomielitis vaccine (switch from Penta to Hexavalent vaccine); Bivalent Oral Polio Vaccine (bOPV); Human Papillomavirus (HPV) vaccine in the four territorial areas of the country (Tbilisi, Kutaisi, Adjara AR, Abkhazia AR).</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Citizens are provided with anti-rabies vaccine for free of charge.</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Hepatitis B and flu vaccination was introduced in state immunization program for persons diagnosis with Hepatitis C.Also, the vaccination of HIV infected patients continued with these vaccinations under the obligations govement tooked form Global Fund.</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lastRenderedPageBreak/>
        <w:t>In order to prepare for the 201</w:t>
      </w:r>
      <w:r w:rsidRPr="004B2420">
        <w:rPr>
          <w:rFonts w:ascii="Times New Roman" w:hAnsi="Times New Roman" w:cs="Times New Roman"/>
          <w:noProof/>
          <w:sz w:val="24"/>
          <w:szCs w:val="24"/>
          <w:lang w:val="ka-GE"/>
        </w:rPr>
        <w:t>8</w:t>
      </w:r>
      <w:r w:rsidRPr="004B2420">
        <w:rPr>
          <w:rFonts w:ascii="Times New Roman" w:hAnsi="Times New Roman" w:cs="Times New Roman"/>
          <w:noProof/>
          <w:sz w:val="24"/>
          <w:szCs w:val="24"/>
        </w:rPr>
        <w:t>-201</w:t>
      </w:r>
      <w:r w:rsidRPr="004B2420">
        <w:rPr>
          <w:rFonts w:ascii="Times New Roman" w:hAnsi="Times New Roman" w:cs="Times New Roman"/>
          <w:noProof/>
          <w:sz w:val="24"/>
          <w:szCs w:val="24"/>
          <w:lang w:val="ka-GE"/>
        </w:rPr>
        <w:t>9</w:t>
      </w:r>
      <w:r w:rsidRPr="004B2420">
        <w:rPr>
          <w:rFonts w:ascii="Times New Roman" w:hAnsi="Times New Roman" w:cs="Times New Roman"/>
          <w:noProof/>
          <w:sz w:val="24"/>
          <w:szCs w:val="24"/>
        </w:rPr>
        <w:t xml:space="preserve"> flu season, </w:t>
      </w:r>
      <w:r w:rsidRPr="004B2420">
        <w:rPr>
          <w:rFonts w:ascii="Times New Roman" w:hAnsi="Times New Roman" w:cs="Times New Roman"/>
          <w:noProof/>
          <w:sz w:val="24"/>
          <w:szCs w:val="24"/>
          <w:lang w:val="ka-GE"/>
        </w:rPr>
        <w:t>42</w:t>
      </w:r>
      <w:r w:rsidRPr="004B2420">
        <w:rPr>
          <w:rFonts w:ascii="Times New Roman" w:hAnsi="Times New Roman" w:cs="Times New Roman"/>
          <w:noProof/>
          <w:sz w:val="24"/>
          <w:szCs w:val="24"/>
        </w:rPr>
        <w:t>,000 doses of seasonal flu vaccines were purchased.</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In order to renew the "cold chain" inventory across the country, electrodesmotors, freezing indicators, room refrigerator and temperature sensors have been purchased.</w:t>
      </w:r>
    </w:p>
    <w:p w:rsidR="00B66E98" w:rsidRPr="00F543B5" w:rsidRDefault="00B66E98" w:rsidP="00154458">
      <w:pPr>
        <w:spacing w:after="120" w:line="240" w:lineRule="auto"/>
        <w:contextualSpacing/>
        <w:rPr>
          <w:rFonts w:ascii="Times New Roman" w:hAnsi="Times New Roman" w:cs="Times New Roman"/>
          <w:bCs/>
          <w:i/>
          <w:iCs/>
          <w:sz w:val="18"/>
          <w:szCs w:val="18"/>
        </w:rPr>
      </w:pPr>
    </w:p>
    <w:p w:rsidR="00B66E98" w:rsidRPr="004B2420" w:rsidRDefault="00B66E98" w:rsidP="00B66E98">
      <w:pPr>
        <w:spacing w:after="120" w:line="240" w:lineRule="auto"/>
        <w:ind w:left="3600" w:firstLine="720"/>
        <w:contextualSpacing/>
        <w:jc w:val="center"/>
        <w:rPr>
          <w:rFonts w:ascii="Times New Roman" w:hAnsi="Times New Roman" w:cs="Times New Roman"/>
          <w:sz w:val="18"/>
          <w:szCs w:val="18"/>
          <w:lang w:val="ka-GE"/>
        </w:rPr>
      </w:pPr>
      <w:r w:rsidRPr="004B2420">
        <w:rPr>
          <w:rFonts w:ascii="Times New Roman" w:hAnsi="Times New Roman" w:cs="Times New Roman"/>
          <w:bCs/>
          <w:i/>
          <w:iCs/>
          <w:sz w:val="18"/>
          <w:szCs w:val="18"/>
        </w:rPr>
        <w:t>Budget of Immunization State Program,</w:t>
      </w:r>
      <w:r w:rsidRPr="004B2420">
        <w:rPr>
          <w:rFonts w:ascii="Times New Roman" w:hAnsi="Times New Roman" w:cs="Times New Roman"/>
          <w:bCs/>
          <w:i/>
          <w:iCs/>
          <w:sz w:val="18"/>
          <w:szCs w:val="18"/>
          <w:lang w:val="ka-GE"/>
        </w:rPr>
        <w:t xml:space="preserve"> 2012-2018 </w:t>
      </w:r>
    </w:p>
    <w:p w:rsidR="00B66E98" w:rsidRPr="004B2420" w:rsidRDefault="00B66E98" w:rsidP="00B66E98">
      <w:pPr>
        <w:spacing w:after="120" w:line="240" w:lineRule="auto"/>
        <w:ind w:firstLine="720"/>
        <w:contextualSpacing/>
        <w:jc w:val="both"/>
        <w:rPr>
          <w:rFonts w:ascii="Times New Roman" w:eastAsia="SimSun" w:hAnsi="Times New Roman" w:cs="Times New Roman"/>
          <w:i/>
          <w:noProof/>
          <w:sz w:val="18"/>
          <w:szCs w:val="18"/>
          <w:lang w:val="ka-GE" w:eastAsia="zh-CN"/>
        </w:rPr>
      </w:pPr>
      <w:r w:rsidRPr="004B2420">
        <w:rPr>
          <w:rFonts w:ascii="Times New Roman" w:hAnsi="Times New Roman" w:cs="Times New Roman"/>
          <w:sz w:val="18"/>
          <w:szCs w:val="18"/>
        </w:rPr>
        <w:t>Source: NCDC&amp;PH</w:t>
      </w:r>
    </w:p>
    <w:p w:rsidR="00B66E98" w:rsidRPr="004B2420" w:rsidRDefault="00B66E98" w:rsidP="00B66E98">
      <w:pPr>
        <w:spacing w:after="120" w:line="240" w:lineRule="auto"/>
        <w:ind w:firstLine="720"/>
        <w:contextualSpacing/>
        <w:jc w:val="both"/>
        <w:rPr>
          <w:rFonts w:ascii="Times New Roman" w:eastAsia="SimSun" w:hAnsi="Times New Roman" w:cs="Times New Roman"/>
          <w:i/>
          <w:noProof/>
          <w:lang w:val="ka-GE" w:eastAsia="zh-CN"/>
        </w:rPr>
      </w:pPr>
    </w:p>
    <w:p w:rsidR="00B66E98" w:rsidRPr="00154458" w:rsidRDefault="00154458" w:rsidP="00154458">
      <w:pPr>
        <w:spacing w:after="120" w:line="240" w:lineRule="auto"/>
        <w:ind w:firstLine="720"/>
        <w:contextualSpacing/>
        <w:jc w:val="both"/>
        <w:rPr>
          <w:rFonts w:ascii="Times New Roman" w:eastAsia="SimSun" w:hAnsi="Times New Roman" w:cs="Times New Roman"/>
          <w:i/>
          <w:noProof/>
          <w:lang w:eastAsia="zh-CN"/>
        </w:rPr>
      </w:pPr>
      <w:r>
        <w:rPr>
          <w:rFonts w:ascii="Times New Roman" w:eastAsia="SimSun" w:hAnsi="Times New Roman" w:cs="Times New Roman"/>
          <w:i/>
          <w:noProof/>
        </w:rPr>
        <w:drawing>
          <wp:inline distT="0" distB="0" distL="0" distR="0">
            <wp:extent cx="5059136" cy="2068286"/>
            <wp:effectExtent l="19050" t="0" r="27214" b="8164"/>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43B5" w:rsidRDefault="00B66E98" w:rsidP="00B66E98">
      <w:pPr>
        <w:spacing w:after="120" w:line="240" w:lineRule="auto"/>
        <w:contextualSpacing/>
        <w:jc w:val="center"/>
        <w:rPr>
          <w:rFonts w:ascii="Times New Roman" w:eastAsia="SimSun" w:hAnsi="Times New Roman" w:cs="Times New Roman"/>
          <w:i/>
          <w:noProof/>
          <w:sz w:val="18"/>
          <w:szCs w:val="18"/>
          <w:lang w:eastAsia="zh-CN"/>
        </w:rPr>
      </w:pP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p>
    <w:p w:rsidR="00154458" w:rsidRDefault="00F543B5" w:rsidP="00F543B5">
      <w:pPr>
        <w:spacing w:after="120" w:line="240" w:lineRule="auto"/>
        <w:contextualSpacing/>
        <w:jc w:val="center"/>
        <w:rPr>
          <w:rFonts w:ascii="Times New Roman" w:eastAsia="SimSun" w:hAnsi="Times New Roman" w:cs="Times New Roman"/>
          <w:i/>
          <w:noProof/>
          <w:sz w:val="18"/>
          <w:szCs w:val="18"/>
          <w:lang w:eastAsia="zh-CN"/>
        </w:rPr>
      </w:pPr>
      <w:r>
        <w:rPr>
          <w:rFonts w:ascii="Times New Roman" w:eastAsia="SimSun" w:hAnsi="Times New Roman" w:cs="Times New Roman"/>
          <w:i/>
          <w:noProof/>
          <w:sz w:val="18"/>
          <w:szCs w:val="18"/>
          <w:lang w:eastAsia="zh-CN"/>
        </w:rPr>
        <w:t xml:space="preserve">                                                                                                      </w:t>
      </w:r>
      <w:r w:rsidR="00B66E98" w:rsidRPr="004B2420">
        <w:rPr>
          <w:rFonts w:ascii="Times New Roman" w:eastAsia="SimSun" w:hAnsi="Times New Roman" w:cs="Times New Roman"/>
          <w:i/>
          <w:noProof/>
          <w:sz w:val="18"/>
          <w:szCs w:val="18"/>
          <w:lang w:eastAsia="zh-CN"/>
        </w:rPr>
        <w:t>Immunization Coverage</w:t>
      </w:r>
      <w:r w:rsidR="00B66E98" w:rsidRPr="004B2420">
        <w:rPr>
          <w:rFonts w:ascii="Times New Roman" w:eastAsia="SimSun" w:hAnsi="Times New Roman" w:cs="Times New Roman"/>
          <w:i/>
          <w:noProof/>
          <w:sz w:val="18"/>
          <w:szCs w:val="18"/>
          <w:lang w:val="ka-GE" w:eastAsia="zh-CN"/>
        </w:rPr>
        <w:t xml:space="preserve"> (%), </w:t>
      </w:r>
      <w:r w:rsidR="00B66E98" w:rsidRPr="004B2420">
        <w:rPr>
          <w:rFonts w:ascii="Times New Roman" w:eastAsia="SimSun" w:hAnsi="Times New Roman" w:cs="Times New Roman"/>
          <w:i/>
          <w:noProof/>
          <w:sz w:val="18"/>
          <w:szCs w:val="18"/>
          <w:lang w:eastAsia="zh-CN"/>
        </w:rPr>
        <w:t>Georgia</w:t>
      </w:r>
      <w:r w:rsidR="00B66E98" w:rsidRPr="004B2420">
        <w:rPr>
          <w:rFonts w:ascii="Times New Roman" w:eastAsia="SimSun" w:hAnsi="Times New Roman" w:cs="Times New Roman"/>
          <w:i/>
          <w:noProof/>
          <w:sz w:val="18"/>
          <w:szCs w:val="18"/>
          <w:lang w:val="ka-GE" w:eastAsia="zh-CN"/>
        </w:rPr>
        <w:t xml:space="preserve"> 201</w:t>
      </w:r>
      <w:r w:rsidR="00B66E98" w:rsidRPr="004B2420">
        <w:rPr>
          <w:rFonts w:ascii="Times New Roman" w:eastAsia="SimSun" w:hAnsi="Times New Roman" w:cs="Times New Roman"/>
          <w:i/>
          <w:noProof/>
          <w:sz w:val="18"/>
          <w:szCs w:val="18"/>
          <w:lang w:eastAsia="zh-CN"/>
        </w:rPr>
        <w:t>7</w:t>
      </w:r>
    </w:p>
    <w:p w:rsidR="00154458" w:rsidRDefault="00154458" w:rsidP="00B66E98">
      <w:pPr>
        <w:spacing w:after="120" w:line="240" w:lineRule="auto"/>
        <w:contextualSpacing/>
        <w:jc w:val="center"/>
        <w:rPr>
          <w:rFonts w:ascii="Times New Roman" w:eastAsia="SimSun" w:hAnsi="Times New Roman" w:cs="Times New Roman"/>
          <w:i/>
          <w:noProof/>
          <w:sz w:val="18"/>
          <w:szCs w:val="18"/>
          <w:lang w:eastAsia="zh-CN"/>
        </w:rPr>
      </w:pPr>
    </w:p>
    <w:p w:rsidR="00154458" w:rsidRDefault="00154458" w:rsidP="00B66E98">
      <w:pPr>
        <w:spacing w:after="120" w:line="240" w:lineRule="auto"/>
        <w:contextualSpacing/>
        <w:jc w:val="center"/>
        <w:rPr>
          <w:rFonts w:ascii="Times New Roman" w:eastAsia="SimSun" w:hAnsi="Times New Roman" w:cs="Times New Roman"/>
          <w:i/>
          <w:noProof/>
          <w:sz w:val="18"/>
          <w:szCs w:val="18"/>
          <w:lang w:eastAsia="zh-CN"/>
        </w:rPr>
      </w:pPr>
      <w:r>
        <w:rPr>
          <w:rFonts w:ascii="Times New Roman" w:eastAsia="SimSun" w:hAnsi="Times New Roman" w:cs="Times New Roman"/>
          <w:i/>
          <w:noProof/>
          <w:sz w:val="18"/>
          <w:szCs w:val="18"/>
        </w:rPr>
        <w:drawing>
          <wp:inline distT="0" distB="0" distL="0" distR="0">
            <wp:extent cx="5021580" cy="2394857"/>
            <wp:effectExtent l="19050" t="0" r="26670" b="544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4458" w:rsidRPr="004B2420" w:rsidRDefault="00154458" w:rsidP="00B66E98">
      <w:pPr>
        <w:spacing w:after="120" w:line="240" w:lineRule="auto"/>
        <w:contextualSpacing/>
        <w:jc w:val="center"/>
        <w:rPr>
          <w:rFonts w:ascii="Times New Roman" w:eastAsia="SimSun" w:hAnsi="Times New Roman" w:cs="Times New Roman"/>
          <w:i/>
          <w:noProof/>
          <w:sz w:val="18"/>
          <w:szCs w:val="18"/>
          <w:lang w:eastAsia="zh-CN"/>
        </w:rPr>
      </w:pPr>
    </w:p>
    <w:p w:rsidR="00B66E98" w:rsidRPr="004B2420" w:rsidRDefault="00B66E98" w:rsidP="00B66E98">
      <w:pPr>
        <w:spacing w:after="120" w:line="240" w:lineRule="auto"/>
        <w:contextualSpacing/>
        <w:jc w:val="center"/>
        <w:rPr>
          <w:rFonts w:ascii="Times New Roman" w:hAnsi="Times New Roman" w:cs="Times New Roman"/>
          <w:i/>
          <w:sz w:val="18"/>
          <w:szCs w:val="18"/>
        </w:rPr>
      </w:pPr>
    </w:p>
    <w:p w:rsidR="00636CF4" w:rsidRDefault="00636CF4" w:rsidP="00154458">
      <w:pPr>
        <w:spacing w:after="120" w:line="240" w:lineRule="auto"/>
        <w:contextualSpacing/>
        <w:jc w:val="both"/>
        <w:rPr>
          <w:rFonts w:ascii="Times New Roman" w:hAnsi="Times New Roman" w:cs="Times New Roman"/>
          <w:sz w:val="18"/>
          <w:szCs w:val="18"/>
        </w:rPr>
      </w:pPr>
    </w:p>
    <w:p w:rsidR="00B66E98" w:rsidRPr="004B2420" w:rsidRDefault="00B66E98" w:rsidP="00154458">
      <w:pPr>
        <w:spacing w:after="120" w:line="240" w:lineRule="auto"/>
        <w:contextualSpacing/>
        <w:jc w:val="both"/>
        <w:rPr>
          <w:rFonts w:ascii="Times New Roman" w:hAnsi="Times New Roman" w:cs="Times New Roman"/>
          <w:sz w:val="18"/>
          <w:szCs w:val="18"/>
        </w:rPr>
      </w:pPr>
      <w:r w:rsidRPr="004B2420">
        <w:rPr>
          <w:rFonts w:ascii="Times New Roman" w:hAnsi="Times New Roman" w:cs="Times New Roman"/>
          <w:sz w:val="18"/>
          <w:szCs w:val="18"/>
        </w:rPr>
        <w:t>Source: NCDC&amp;PH</w:t>
      </w:r>
    </w:p>
    <w:p w:rsidR="00B66E98" w:rsidRPr="004B2420" w:rsidRDefault="00B66E98" w:rsidP="00B66E98">
      <w:pPr>
        <w:spacing w:after="0" w:line="240" w:lineRule="auto"/>
        <w:jc w:val="both"/>
        <w:rPr>
          <w:rFonts w:ascii="Times New Roman" w:hAnsi="Times New Roman" w:cs="Times New Roman"/>
          <w:noProof/>
          <w:sz w:val="24"/>
          <w:szCs w:val="24"/>
        </w:rPr>
      </w:pPr>
    </w:p>
    <w:p w:rsidR="00B66E98" w:rsidRPr="004B2420" w:rsidRDefault="00B66E98" w:rsidP="00B66E98">
      <w:pPr>
        <w:spacing w:after="0" w:line="240" w:lineRule="auto"/>
        <w:jc w:val="both"/>
        <w:rPr>
          <w:rFonts w:ascii="Times New Roman" w:hAnsi="Times New Roman" w:cs="Times New Roman"/>
          <w:b/>
          <w:sz w:val="24"/>
          <w:szCs w:val="24"/>
          <w:shd w:val="clear" w:color="auto" w:fill="FFFFFF"/>
        </w:rPr>
      </w:pPr>
    </w:p>
    <w:p w:rsidR="00B66E98" w:rsidRDefault="00B66E98" w:rsidP="00B66E98">
      <w:pPr>
        <w:spacing w:after="0" w:line="240" w:lineRule="auto"/>
        <w:jc w:val="both"/>
        <w:rPr>
          <w:rFonts w:ascii="Times New Roman" w:hAnsi="Times New Roman" w:cs="Times New Roman"/>
          <w:b/>
          <w:sz w:val="24"/>
          <w:szCs w:val="24"/>
          <w:shd w:val="clear" w:color="auto" w:fill="FFFFFF"/>
        </w:rPr>
      </w:pPr>
    </w:p>
    <w:p w:rsidR="007A6F20" w:rsidRDefault="007A6F20" w:rsidP="00B66E98">
      <w:pPr>
        <w:spacing w:after="0" w:line="240" w:lineRule="auto"/>
        <w:jc w:val="both"/>
        <w:rPr>
          <w:rFonts w:ascii="Times New Roman" w:hAnsi="Times New Roman" w:cs="Times New Roman"/>
          <w:b/>
          <w:sz w:val="24"/>
          <w:szCs w:val="24"/>
          <w:shd w:val="clear" w:color="auto" w:fill="FFFFFF"/>
        </w:rPr>
      </w:pPr>
    </w:p>
    <w:p w:rsidR="007A6F20" w:rsidRDefault="007A6F20" w:rsidP="00B66E98">
      <w:pPr>
        <w:spacing w:after="0" w:line="240" w:lineRule="auto"/>
        <w:jc w:val="both"/>
        <w:rPr>
          <w:rFonts w:ascii="Times New Roman" w:hAnsi="Times New Roman" w:cs="Times New Roman"/>
          <w:b/>
          <w:sz w:val="24"/>
          <w:szCs w:val="24"/>
          <w:shd w:val="clear" w:color="auto" w:fill="FFFFFF"/>
        </w:rPr>
      </w:pPr>
    </w:p>
    <w:p w:rsidR="007A6F20" w:rsidRDefault="007A6F20" w:rsidP="00B66E98">
      <w:pPr>
        <w:spacing w:after="0" w:line="240" w:lineRule="auto"/>
        <w:jc w:val="both"/>
        <w:rPr>
          <w:rFonts w:ascii="Times New Roman" w:hAnsi="Times New Roman" w:cs="Times New Roman"/>
          <w:b/>
          <w:sz w:val="24"/>
          <w:szCs w:val="24"/>
          <w:shd w:val="clear" w:color="auto" w:fill="FFFFFF"/>
        </w:rPr>
      </w:pPr>
    </w:p>
    <w:p w:rsidR="007A6F20" w:rsidRPr="004B2420" w:rsidRDefault="007A6F20" w:rsidP="00B66E98">
      <w:pPr>
        <w:spacing w:after="0" w:line="240" w:lineRule="auto"/>
        <w:jc w:val="both"/>
        <w:rPr>
          <w:rFonts w:ascii="Times New Roman" w:hAnsi="Times New Roman" w:cs="Times New Roman"/>
          <w:b/>
          <w:sz w:val="24"/>
          <w:szCs w:val="24"/>
          <w:shd w:val="clear" w:color="auto" w:fill="FFFFFF"/>
        </w:rPr>
      </w:pPr>
    </w:p>
    <w:p w:rsidR="00B66E98" w:rsidRPr="007A6F20" w:rsidRDefault="00B66E98" w:rsidP="007A6F20">
      <w:pPr>
        <w:pStyle w:val="Heading1"/>
        <w:rPr>
          <w:rFonts w:ascii="Times New Roman" w:hAnsi="Times New Roman" w:cs="Times New Roman"/>
        </w:rPr>
      </w:pPr>
      <w:r w:rsidRPr="007A6F20">
        <w:rPr>
          <w:rFonts w:ascii="Times New Roman" w:hAnsi="Times New Roman" w:cs="Times New Roman"/>
        </w:rPr>
        <w:lastRenderedPageBreak/>
        <w:t>Prog</w:t>
      </w:r>
      <w:r w:rsidR="00F543B5" w:rsidRPr="007A6F20">
        <w:rPr>
          <w:rFonts w:ascii="Times New Roman" w:hAnsi="Times New Roman" w:cs="Times New Roman"/>
        </w:rPr>
        <w:t xml:space="preserve">rams funded by the Global Fund to fight AIDS, Tuberculosis and Malaria </w:t>
      </w:r>
    </w:p>
    <w:p w:rsidR="00B66E98" w:rsidRPr="004B2420" w:rsidRDefault="00B66E98" w:rsidP="00B66E98">
      <w:pPr>
        <w:pStyle w:val="ListParagraph"/>
        <w:spacing w:after="0" w:line="240" w:lineRule="auto"/>
        <w:jc w:val="both"/>
        <w:rPr>
          <w:rFonts w:ascii="Times New Roman" w:hAnsi="Times New Roman" w:cs="Times New Roman"/>
          <w:sz w:val="24"/>
          <w:szCs w:val="24"/>
        </w:rPr>
      </w:pPr>
    </w:p>
    <w:p w:rsidR="00B66E98" w:rsidRPr="00F543B5" w:rsidRDefault="00B0477F" w:rsidP="00F543B5">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anticipated phase out of the Global Fund supported TB and HIV Programs, the Government has elaborated the transition and sustainability plan which defines key interventions to be implemented in 2017-2019 for sustaining access to high quality diagnostic and treatment services. </w:t>
      </w:r>
    </w:p>
    <w:p w:rsidR="00B0477F" w:rsidRDefault="00B0477F" w:rsidP="00B66E98">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2014-2019 Georgia received over 55 million US dollars from the Global Fund in support of TB and HIV control programs. In 2019-2022 the country will receive USD 15.4 million aimed at health systems </w:t>
      </w:r>
      <w:r w:rsidR="000B6301">
        <w:rPr>
          <w:rFonts w:ascii="Times New Roman" w:hAnsi="Times New Roman" w:cs="Times New Roman"/>
          <w:sz w:val="24"/>
          <w:szCs w:val="24"/>
        </w:rPr>
        <w:t>strengthening</w:t>
      </w:r>
      <w:r>
        <w:rPr>
          <w:rFonts w:ascii="Times New Roman" w:hAnsi="Times New Roman" w:cs="Times New Roman"/>
          <w:sz w:val="24"/>
          <w:szCs w:val="24"/>
        </w:rPr>
        <w:t xml:space="preserve"> and addressing needs of the key affected populations. </w:t>
      </w:r>
    </w:p>
    <w:p w:rsidR="00B0477F" w:rsidRPr="004B2420" w:rsidRDefault="00B0477F" w:rsidP="00B0477F">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Reduction of Global Fund financing</w:t>
      </w:r>
      <w:r>
        <w:rPr>
          <w:rFonts w:ascii="Times New Roman" w:hAnsi="Times New Roman" w:cs="Times New Roman"/>
          <w:sz w:val="24"/>
          <w:szCs w:val="24"/>
        </w:rPr>
        <w:t xml:space="preserve"> has been</w:t>
      </w:r>
      <w:r w:rsidRPr="004B2420">
        <w:rPr>
          <w:rFonts w:ascii="Times New Roman" w:hAnsi="Times New Roman" w:cs="Times New Roman"/>
          <w:sz w:val="24"/>
          <w:szCs w:val="24"/>
        </w:rPr>
        <w:t xml:space="preserve"> in proportion with increasing share of </w:t>
      </w:r>
      <w:r>
        <w:rPr>
          <w:rFonts w:ascii="Times New Roman" w:hAnsi="Times New Roman" w:cs="Times New Roman"/>
          <w:sz w:val="24"/>
          <w:szCs w:val="24"/>
        </w:rPr>
        <w:t xml:space="preserve">the </w:t>
      </w:r>
      <w:r w:rsidRPr="004B2420">
        <w:rPr>
          <w:rFonts w:ascii="Times New Roman" w:hAnsi="Times New Roman" w:cs="Times New Roman"/>
          <w:sz w:val="24"/>
          <w:szCs w:val="24"/>
        </w:rPr>
        <w:t xml:space="preserve">state funds on </w:t>
      </w:r>
      <w:r>
        <w:rPr>
          <w:rFonts w:ascii="Times New Roman" w:hAnsi="Times New Roman" w:cs="Times New Roman"/>
          <w:sz w:val="24"/>
          <w:szCs w:val="24"/>
        </w:rPr>
        <w:t>TB and HIV</w:t>
      </w:r>
      <w:r w:rsidRPr="004B2420">
        <w:rPr>
          <w:rFonts w:ascii="Times New Roman" w:hAnsi="Times New Roman" w:cs="Times New Roman"/>
          <w:sz w:val="24"/>
          <w:szCs w:val="24"/>
        </w:rPr>
        <w:t xml:space="preserve"> programs to ensure continuity of services. The percentage share of state programs financing in 2014-2016 has significantly increased in the volume of financing of HIV infection and TB management programs and exceeded 70%.</w:t>
      </w:r>
    </w:p>
    <w:p w:rsidR="00B0477F" w:rsidRPr="004B2420" w:rsidRDefault="00B0477F" w:rsidP="00B66E98">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the amount of GF funding has been diminishing, the State committed to procure the first line TB and HIV drugs in the full amount and increase funding for the second line TB drugs from 50% in 2018 to 75% in 2019. </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Georgia one of the first in the region started implementation of WHO “Treat ALL” strategy from December 2015, offering ART to all registered PLHIV (People Living with HIV/AIDS) despite their CD4 count.</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A new DOT outpatient center has been constructed and one more project is planned to replace existing amortized facilities.</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In order to improve geographical access to medical care for patients with TB, 3 </w:t>
      </w:r>
      <w:r w:rsidR="00751FB6">
        <w:rPr>
          <w:rFonts w:ascii="Times New Roman" w:hAnsi="Times New Roman" w:cs="Times New Roman"/>
          <w:sz w:val="24"/>
          <w:szCs w:val="24"/>
        </w:rPr>
        <w:t xml:space="preserve">vehicles for </w:t>
      </w:r>
      <w:r w:rsidRPr="004B2420">
        <w:rPr>
          <w:rFonts w:ascii="Times New Roman" w:hAnsi="Times New Roman" w:cs="Times New Roman"/>
          <w:sz w:val="24"/>
          <w:szCs w:val="24"/>
        </w:rPr>
        <w:t>mobile outpatients have been purchased in 2016.</w:t>
      </w:r>
    </w:p>
    <w:p w:rsidR="00B66E98" w:rsidRPr="004B2420" w:rsidRDefault="000B6301" w:rsidP="00B66E98">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F</w:t>
      </w:r>
      <w:r w:rsidR="00B66E98" w:rsidRPr="004B2420">
        <w:rPr>
          <w:rFonts w:ascii="Times New Roman" w:hAnsi="Times New Roman" w:cs="Times New Roman"/>
          <w:sz w:val="24"/>
          <w:szCs w:val="24"/>
          <w:lang w:val="en-GB"/>
        </w:rPr>
        <w:t>r</w:t>
      </w:r>
      <w:r>
        <w:rPr>
          <w:rFonts w:ascii="Times New Roman" w:hAnsi="Times New Roman" w:cs="Times New Roman"/>
          <w:sz w:val="24"/>
          <w:szCs w:val="24"/>
          <w:lang w:val="en-GB"/>
        </w:rPr>
        <w:t>o</w:t>
      </w:r>
      <w:r w:rsidR="00B66E98" w:rsidRPr="004B2420">
        <w:rPr>
          <w:rFonts w:ascii="Times New Roman" w:hAnsi="Times New Roman" w:cs="Times New Roman"/>
          <w:sz w:val="24"/>
          <w:szCs w:val="24"/>
          <w:lang w:val="en-GB"/>
        </w:rPr>
        <w:t xml:space="preserve">m July, 2016 Video Observed Therapy (VOT) pilot program was initiated in the capital city. Patients with resistant tuberculosis in the stage of outpatient treatment, if desired, </w:t>
      </w:r>
      <w:r w:rsidR="00B66E98" w:rsidRPr="004B2420">
        <w:rPr>
          <w:rFonts w:ascii="Times New Roman" w:hAnsi="Times New Roman" w:cs="Times New Roman"/>
          <w:sz w:val="24"/>
          <w:szCs w:val="24"/>
        </w:rPr>
        <w:t>c</w:t>
      </w:r>
      <w:r w:rsidR="00B66E98" w:rsidRPr="004B2420">
        <w:rPr>
          <w:rFonts w:ascii="Times New Roman" w:hAnsi="Times New Roman" w:cs="Times New Roman"/>
          <w:sz w:val="24"/>
          <w:szCs w:val="24"/>
          <w:lang w:val="en-GB"/>
        </w:rPr>
        <w:t>an take the drugs are during the video call that the nurse supervises through the skype.</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Since 2017, </w:t>
      </w:r>
      <w:r w:rsidRPr="000B6301">
        <w:rPr>
          <w:rFonts w:ascii="Times New Roman" w:hAnsi="Times New Roman" w:cs="Times New Roman"/>
          <w:sz w:val="24"/>
          <w:szCs w:val="24"/>
          <w:lang w:val="en-GB"/>
        </w:rPr>
        <w:t xml:space="preserve">the </w:t>
      </w:r>
      <w:r w:rsidR="000B6301" w:rsidRPr="000B6301">
        <w:rPr>
          <w:rFonts w:ascii="Times New Roman" w:hAnsi="Times New Roman" w:cs="Times New Roman"/>
          <w:sz w:val="24"/>
          <w:szCs w:val="24"/>
          <w:lang w:val="en-GB"/>
        </w:rPr>
        <w:t>Extension for Community Healthcare Outcomes (</w:t>
      </w:r>
      <w:r w:rsidRPr="000B6301">
        <w:rPr>
          <w:rFonts w:ascii="Times New Roman" w:hAnsi="Times New Roman" w:cs="Times New Roman"/>
          <w:sz w:val="24"/>
          <w:szCs w:val="24"/>
          <w:lang w:val="en-GB"/>
        </w:rPr>
        <w:t>ECHO</w:t>
      </w:r>
      <w:r w:rsidR="000B6301" w:rsidRPr="000B6301">
        <w:rPr>
          <w:rFonts w:ascii="Times New Roman" w:hAnsi="Times New Roman" w:cs="Times New Roman"/>
          <w:sz w:val="24"/>
          <w:szCs w:val="24"/>
          <w:lang w:val="en-GB"/>
        </w:rPr>
        <w:t>)</w:t>
      </w:r>
      <w:r w:rsidRPr="000B6301">
        <w:rPr>
          <w:rFonts w:ascii="Times New Roman" w:hAnsi="Times New Roman" w:cs="Times New Roman"/>
          <w:sz w:val="24"/>
          <w:szCs w:val="24"/>
          <w:lang w:val="en-GB"/>
        </w:rPr>
        <w:t xml:space="preserve"> model</w:t>
      </w:r>
      <w:r w:rsidRPr="004B2420">
        <w:rPr>
          <w:rFonts w:ascii="Times New Roman" w:hAnsi="Times New Roman" w:cs="Times New Roman"/>
          <w:sz w:val="24"/>
          <w:szCs w:val="24"/>
        </w:rPr>
        <w:t xml:space="preserve"> has been introduced, which implies the use of teleconference technology to discuss patients' condition.</w:t>
      </w:r>
    </w:p>
    <w:p w:rsidR="00B66E98" w:rsidRPr="004B2420" w:rsidRDefault="00B66E98" w:rsidP="00B66E98">
      <w:pPr>
        <w:spacing w:after="0" w:line="240" w:lineRule="auto"/>
        <w:jc w:val="both"/>
        <w:rPr>
          <w:rFonts w:ascii="Times New Roman" w:hAnsi="Times New Roman" w:cs="Times New Roman"/>
          <w:sz w:val="24"/>
          <w:szCs w:val="24"/>
          <w:shd w:val="clear" w:color="auto" w:fill="FFFFFF"/>
          <w:lang w:val="ka-GE"/>
        </w:rPr>
      </w:pPr>
    </w:p>
    <w:p w:rsidR="006B130F" w:rsidRPr="004B2420" w:rsidRDefault="006B130F">
      <w:pPr>
        <w:rPr>
          <w:rFonts w:ascii="Times New Roman" w:hAnsi="Times New Roman" w:cs="Times New Roman"/>
          <w:lang w:val="ka-GE"/>
        </w:rPr>
      </w:pPr>
    </w:p>
    <w:sectPr w:rsidR="006B130F" w:rsidRPr="004B2420" w:rsidSect="00CF5DAA">
      <w:headerReference w:type="default" r:id="rId20"/>
      <w:footerReference w:type="default" r:id="rId2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139" w:rsidRDefault="00512139" w:rsidP="004E6046">
      <w:pPr>
        <w:spacing w:after="0" w:line="240" w:lineRule="auto"/>
      </w:pPr>
      <w:r>
        <w:separator/>
      </w:r>
    </w:p>
  </w:endnote>
  <w:endnote w:type="continuationSeparator" w:id="0">
    <w:p w:rsidR="00512139" w:rsidRDefault="00512139" w:rsidP="004E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772766"/>
      <w:docPartObj>
        <w:docPartGallery w:val="Page Numbers (Bottom of Page)"/>
        <w:docPartUnique/>
      </w:docPartObj>
    </w:sdtPr>
    <w:sdtEndPr/>
    <w:sdtContent>
      <w:p w:rsidR="004E6046" w:rsidRDefault="00512139">
        <w:pPr>
          <w:pStyle w:val="Footer"/>
          <w:jc w:val="center"/>
        </w:pPr>
        <w:r>
          <w:fldChar w:fldCharType="begin"/>
        </w:r>
        <w:r>
          <w:instrText xml:space="preserve"> PAGE   \* MERGEFORMAT </w:instrText>
        </w:r>
        <w:r>
          <w:fldChar w:fldCharType="separate"/>
        </w:r>
        <w:r w:rsidR="001A41A1">
          <w:rPr>
            <w:noProof/>
          </w:rPr>
          <w:t>2</w:t>
        </w:r>
        <w:r>
          <w:rPr>
            <w:noProof/>
          </w:rPr>
          <w:fldChar w:fldCharType="end"/>
        </w:r>
      </w:p>
    </w:sdtContent>
  </w:sdt>
  <w:p w:rsidR="004E6046" w:rsidRDefault="004E6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139" w:rsidRDefault="00512139" w:rsidP="004E6046">
      <w:pPr>
        <w:spacing w:after="0" w:line="240" w:lineRule="auto"/>
      </w:pPr>
      <w:r>
        <w:separator/>
      </w:r>
    </w:p>
  </w:footnote>
  <w:footnote w:type="continuationSeparator" w:id="0">
    <w:p w:rsidR="00512139" w:rsidRDefault="00512139" w:rsidP="004E6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46" w:rsidRPr="004E6046" w:rsidRDefault="004E6046">
    <w:pPr>
      <w:pStyle w:val="Header"/>
      <w:rPr>
        <w:rFonts w:ascii="Times New Roman" w:hAnsi="Times New Roman" w:cs="Times New Roman"/>
      </w:rPr>
    </w:pPr>
    <w:r w:rsidRPr="004E6046">
      <w:rPr>
        <w:rFonts w:ascii="Times New Roman" w:hAnsi="Times New Roman" w:cs="Times New Roman"/>
      </w:rPr>
      <w:t>Updated in February 2019</w:t>
    </w:r>
    <w:r w:rsidR="001532DA">
      <w:rPr>
        <w:rFonts w:ascii="Times New Roman" w:hAnsi="Times New Roman" w:cs="Times New Roman"/>
      </w:rPr>
      <w:t xml:space="preserve">  MoIDPLHSA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600F0"/>
    <w:multiLevelType w:val="hybridMultilevel"/>
    <w:tmpl w:val="7DDCC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1">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0"/>
  </w:num>
  <w:num w:numId="4">
    <w:abstractNumId w:val="8"/>
  </w:num>
  <w:num w:numId="5">
    <w:abstractNumId w:val="13"/>
  </w:num>
  <w:num w:numId="6">
    <w:abstractNumId w:val="15"/>
  </w:num>
  <w:num w:numId="7">
    <w:abstractNumId w:val="0"/>
  </w:num>
  <w:num w:numId="8">
    <w:abstractNumId w:val="17"/>
  </w:num>
  <w:num w:numId="9">
    <w:abstractNumId w:val="19"/>
  </w:num>
  <w:num w:numId="10">
    <w:abstractNumId w:val="4"/>
  </w:num>
  <w:num w:numId="11">
    <w:abstractNumId w:val="2"/>
  </w:num>
  <w:num w:numId="12">
    <w:abstractNumId w:val="5"/>
  </w:num>
  <w:num w:numId="13">
    <w:abstractNumId w:val="11"/>
  </w:num>
  <w:num w:numId="14">
    <w:abstractNumId w:val="6"/>
  </w:num>
  <w:num w:numId="15">
    <w:abstractNumId w:val="14"/>
  </w:num>
  <w:num w:numId="16">
    <w:abstractNumId w:val="18"/>
  </w:num>
  <w:num w:numId="17">
    <w:abstractNumId w:val="3"/>
  </w:num>
  <w:num w:numId="18">
    <w:abstractNumId w:val="21"/>
  </w:num>
  <w:num w:numId="19">
    <w:abstractNumId w:val="12"/>
  </w:num>
  <w:num w:numId="20">
    <w:abstractNumId w:val="9"/>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98"/>
    <w:rsid w:val="000643AF"/>
    <w:rsid w:val="00083FE1"/>
    <w:rsid w:val="000B6301"/>
    <w:rsid w:val="00141222"/>
    <w:rsid w:val="001421FC"/>
    <w:rsid w:val="001532DA"/>
    <w:rsid w:val="00154458"/>
    <w:rsid w:val="00180FB0"/>
    <w:rsid w:val="001A41A1"/>
    <w:rsid w:val="00227D09"/>
    <w:rsid w:val="00301D8A"/>
    <w:rsid w:val="00395844"/>
    <w:rsid w:val="004925EF"/>
    <w:rsid w:val="004B2420"/>
    <w:rsid w:val="004D4F5D"/>
    <w:rsid w:val="004E6046"/>
    <w:rsid w:val="00507F29"/>
    <w:rsid w:val="00512139"/>
    <w:rsid w:val="006049AC"/>
    <w:rsid w:val="00636CF4"/>
    <w:rsid w:val="00640D49"/>
    <w:rsid w:val="006B130F"/>
    <w:rsid w:val="00751FB6"/>
    <w:rsid w:val="007A6F20"/>
    <w:rsid w:val="00812AC6"/>
    <w:rsid w:val="00885464"/>
    <w:rsid w:val="008A3F54"/>
    <w:rsid w:val="00917BD2"/>
    <w:rsid w:val="00923F87"/>
    <w:rsid w:val="00952D76"/>
    <w:rsid w:val="00AC6973"/>
    <w:rsid w:val="00B0477F"/>
    <w:rsid w:val="00B66E98"/>
    <w:rsid w:val="00C1748D"/>
    <w:rsid w:val="00CA0259"/>
    <w:rsid w:val="00CC7E43"/>
    <w:rsid w:val="00E46374"/>
    <w:rsid w:val="00F41CA3"/>
    <w:rsid w:val="00F543B5"/>
    <w:rsid w:val="00F821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D251C-C70F-4A7D-887F-901331F4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98"/>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4E60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412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6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6E98"/>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B66E98"/>
    <w:pPr>
      <w:ind w:left="720"/>
      <w:contextualSpacing/>
    </w:pPr>
  </w:style>
  <w:style w:type="character" w:styleId="Emphasis">
    <w:name w:val="Emphasis"/>
    <w:basedOn w:val="DefaultParagraphFont"/>
    <w:uiPriority w:val="20"/>
    <w:qFormat/>
    <w:rsid w:val="00B66E98"/>
    <w:rPr>
      <w:i/>
      <w:iCs/>
    </w:rPr>
  </w:style>
  <w:style w:type="character" w:customStyle="1" w:styleId="st">
    <w:name w:val="st"/>
    <w:basedOn w:val="DefaultParagraphFont"/>
    <w:rsid w:val="00B66E98"/>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B66E98"/>
    <w:rPr>
      <w:rFonts w:asciiTheme="minorHAnsi" w:hAnsiTheme="minorHAnsi"/>
    </w:rPr>
  </w:style>
  <w:style w:type="character" w:customStyle="1" w:styleId="tgc">
    <w:name w:val="_tgc"/>
    <w:basedOn w:val="DefaultParagraphFont"/>
    <w:rsid w:val="00B66E98"/>
  </w:style>
  <w:style w:type="character" w:customStyle="1" w:styleId="shorttext">
    <w:name w:val="short_text"/>
    <w:basedOn w:val="DefaultParagraphFont"/>
    <w:rsid w:val="00B66E98"/>
  </w:style>
  <w:style w:type="paragraph" w:styleId="NormalWeb">
    <w:name w:val="Normal (Web)"/>
    <w:basedOn w:val="Normal"/>
    <w:uiPriority w:val="99"/>
    <w:unhideWhenUsed/>
    <w:rsid w:val="00B66E98"/>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BalloonText">
    <w:name w:val="Balloon Text"/>
    <w:basedOn w:val="Normal"/>
    <w:link w:val="BalloonTextChar"/>
    <w:uiPriority w:val="99"/>
    <w:semiHidden/>
    <w:unhideWhenUsed/>
    <w:rsid w:val="00083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E1"/>
    <w:rPr>
      <w:rFonts w:ascii="Tahoma" w:hAnsi="Tahoma" w:cs="Tahoma"/>
      <w:sz w:val="16"/>
      <w:szCs w:val="16"/>
    </w:rPr>
  </w:style>
  <w:style w:type="character" w:customStyle="1" w:styleId="Heading3Char">
    <w:name w:val="Heading 3 Char"/>
    <w:basedOn w:val="DefaultParagraphFont"/>
    <w:link w:val="Heading3"/>
    <w:uiPriority w:val="9"/>
    <w:rsid w:val="001412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1222"/>
    <w:rPr>
      <w:color w:val="0000FF"/>
      <w:u w:val="single"/>
    </w:rPr>
  </w:style>
  <w:style w:type="paragraph" w:styleId="Header">
    <w:name w:val="header"/>
    <w:basedOn w:val="Normal"/>
    <w:link w:val="HeaderChar"/>
    <w:uiPriority w:val="99"/>
    <w:semiHidden/>
    <w:unhideWhenUsed/>
    <w:rsid w:val="004E6046"/>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E6046"/>
    <w:rPr>
      <w:rFonts w:asciiTheme="minorHAnsi" w:hAnsiTheme="minorHAnsi"/>
    </w:rPr>
  </w:style>
  <w:style w:type="paragraph" w:styleId="Footer">
    <w:name w:val="footer"/>
    <w:basedOn w:val="Normal"/>
    <w:link w:val="FooterChar"/>
    <w:uiPriority w:val="99"/>
    <w:unhideWhenUsed/>
    <w:rsid w:val="004E60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4E6046"/>
    <w:rPr>
      <w:rFonts w:asciiTheme="minorHAnsi" w:hAnsiTheme="minorHAnsi"/>
    </w:rPr>
  </w:style>
  <w:style w:type="character" w:customStyle="1" w:styleId="Heading1Char">
    <w:name w:val="Heading 1 Char"/>
    <w:basedOn w:val="DefaultParagraphFont"/>
    <w:link w:val="Heading1"/>
    <w:uiPriority w:val="9"/>
    <w:rsid w:val="004E6046"/>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4E604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604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9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953E-2"/>
          <c:y val="3.4560553877851966E-2"/>
          <c:w val="0.83859300573539419"/>
          <c:h val="0.60102589611255475"/>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xmlns:c16r2="http://schemas.microsoft.com/office/drawing/2015/06/chart">
            <c:ext xmlns:c16="http://schemas.microsoft.com/office/drawing/2014/chart" uri="{C3380CC4-5D6E-409C-BE32-E72D297353CC}">
              <c16:uniqueId val="{00000000-1802-453E-B2E1-8CD6A03684DB}"/>
            </c:ext>
          </c:extLst>
        </c:ser>
        <c:dLbls>
          <c:showLegendKey val="0"/>
          <c:showVal val="0"/>
          <c:showCatName val="0"/>
          <c:showSerName val="0"/>
          <c:showPercent val="0"/>
          <c:showBubbleSize val="0"/>
        </c:dLbls>
        <c:gapWidth val="115"/>
        <c:overlap val="36"/>
        <c:axId val="612344056"/>
        <c:axId val="612347192"/>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802-453E-B2E1-8CD6A03684DB}"/>
                </c:ext>
                <c:ext xmlns:c15="http://schemas.microsoft.com/office/drawing/2012/chart" uri="{CE6537A1-D6FC-4f65-9D91-7224C49458BB}"/>
              </c:extLst>
            </c:dLbl>
            <c:dLbl>
              <c:idx val="6"/>
              <c:layout>
                <c:manualLayout>
                  <c:x val="-4.1908557726580475E-2"/>
                  <c:y val="-0.1220473819407270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02-453E-B2E1-8CD6A03684DB}"/>
                </c:ext>
                <c:ext xmlns:c15="http://schemas.microsoft.com/office/drawing/2012/chart" uri="{CE6537A1-D6FC-4f65-9D91-7224C49458BB}"/>
              </c:extLst>
            </c:dLbl>
            <c:dLbl>
              <c:idx val="7"/>
              <c:layout>
                <c:manualLayout>
                  <c:x val="-4.1908557726580475E-2"/>
                  <c:y val="-0.1477010971844882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802-453E-B2E1-8CD6A03684DB}"/>
                </c:ext>
                <c:ext xmlns:c15="http://schemas.microsoft.com/office/drawing/2012/chart" uri="{CE6537A1-D6FC-4f65-9D91-7224C49458BB}"/>
              </c:extLst>
            </c:dLbl>
            <c:dLbl>
              <c:idx val="8"/>
              <c:layout>
                <c:manualLayout>
                  <c:x val="-5.2196623570202001E-2"/>
                  <c:y val="-0.1819060508428361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02-453E-B2E1-8CD6A03684DB}"/>
                </c:ext>
                <c:ext xmlns:c15="http://schemas.microsoft.com/office/drawing/2012/chart" uri="{CE6537A1-D6FC-4f65-9D91-7224C49458BB}"/>
              </c:extLst>
            </c:dLbl>
            <c:dLbl>
              <c:idx val="9"/>
              <c:layout>
                <c:manualLayout>
                  <c:x val="-5.2196623570202001E-2"/>
                  <c:y val="-0.1904572892574231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802-453E-B2E1-8CD6A03684DB}"/>
                </c:ext>
                <c:ext xmlns:c15="http://schemas.microsoft.com/office/drawing/2012/chart" uri="{CE6537A1-D6FC-4f65-9D91-7224C49458BB}"/>
              </c:extLst>
            </c:dLbl>
            <c:dLbl>
              <c:idx val="10"/>
              <c:layout>
                <c:manualLayout>
                  <c:x val="-5.2196623570202001E-2"/>
                  <c:y val="-0.2246622429157703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02-453E-B2E1-8CD6A03684DB}"/>
                </c:ext>
                <c:ext xmlns:c15="http://schemas.microsoft.com/office/drawing/2012/chart" uri="{CE6537A1-D6FC-4f65-9D91-7224C49458BB}"/>
              </c:extLst>
            </c:dLbl>
            <c:dLbl>
              <c:idx val="11"/>
              <c:layout>
                <c:manualLayout>
                  <c:x val="-6.0023390310126851E-2"/>
                  <c:y val="-0.149151076807845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802-453E-B2E1-8CD6A03684DB}"/>
                </c:ex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1.7209900867980889E-2</c:v>
                </c:pt>
                <c:pt idx="1">
                  <c:v>2.0409014953656792E-2</c:v>
                </c:pt>
                <c:pt idx="2">
                  <c:v>2.3780707749627691E-2</c:v>
                </c:pt>
                <c:pt idx="3">
                  <c:v>2.9000000000000019E-2</c:v>
                </c:pt>
                <c:pt idx="4" formatCode="0.00%">
                  <c:v>3.0000000000000041E-2</c:v>
                </c:pt>
                <c:pt idx="5" formatCode="0%">
                  <c:v>3.0000000000000041E-2</c:v>
                </c:pt>
              </c:numCache>
            </c:numRef>
          </c:val>
          <c:smooth val="1"/>
          <c:extLst xmlns:c16r2="http://schemas.microsoft.com/office/drawing/2015/06/chart">
            <c:ext xmlns:c16="http://schemas.microsoft.com/office/drawing/2014/chart" uri="{C3380CC4-5D6E-409C-BE32-E72D297353CC}">
              <c16:uniqueId val="{00000008-1802-453E-B2E1-8CD6A03684DB}"/>
            </c:ext>
          </c:extLst>
        </c:ser>
        <c:ser>
          <c:idx val="2"/>
          <c:order val="2"/>
          <c:tx>
            <c:strRef>
              <c:f>Sheet1!$A$4</c:f>
              <c:strCache>
                <c:ptCount val="1"/>
                <c:pt idx="0">
                  <c:v>Government expenditure on health as % of State Budget</c:v>
                </c:pt>
              </c:strCache>
            </c:strRef>
          </c:tx>
          <c:dLbls>
            <c:numFmt formatCode="0.0%" sourceLinked="0"/>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5.3137066546633242E-2</c:v>
                </c:pt>
                <c:pt idx="1">
                  <c:v>6.3278552727428619E-2</c:v>
                </c:pt>
                <c:pt idx="2">
                  <c:v>7.1791582565816331E-2</c:v>
                </c:pt>
                <c:pt idx="3">
                  <c:v>8.6196922343757032E-2</c:v>
                </c:pt>
                <c:pt idx="4" formatCode="0%">
                  <c:v>9.0000000000000066E-2</c:v>
                </c:pt>
                <c:pt idx="5" formatCode="0.00%">
                  <c:v>8.5000000000000048E-2</c:v>
                </c:pt>
              </c:numCache>
            </c:numRef>
          </c:val>
          <c:smooth val="1"/>
          <c:extLst xmlns:c16r2="http://schemas.microsoft.com/office/drawing/2015/06/chart">
            <c:ext xmlns:c16="http://schemas.microsoft.com/office/drawing/2014/chart" uri="{C3380CC4-5D6E-409C-BE32-E72D297353CC}">
              <c16:uniqueId val="{00000009-1802-453E-B2E1-8CD6A03684DB}"/>
            </c:ext>
          </c:extLst>
        </c:ser>
        <c:dLbls>
          <c:showLegendKey val="0"/>
          <c:showVal val="0"/>
          <c:showCatName val="0"/>
          <c:showSerName val="0"/>
          <c:showPercent val="0"/>
          <c:showBubbleSize val="0"/>
        </c:dLbls>
        <c:marker val="1"/>
        <c:smooth val="0"/>
        <c:axId val="612346800"/>
        <c:axId val="612347584"/>
      </c:lineChart>
      <c:catAx>
        <c:axId val="612344056"/>
        <c:scaling>
          <c:orientation val="minMax"/>
        </c:scaling>
        <c:delete val="0"/>
        <c:axPos val="b"/>
        <c:numFmt formatCode="General" sourceLinked="0"/>
        <c:majorTickMark val="out"/>
        <c:minorTickMark val="none"/>
        <c:tickLblPos val="nextTo"/>
        <c:crossAx val="612347192"/>
        <c:crosses val="autoZero"/>
        <c:auto val="1"/>
        <c:lblAlgn val="ctr"/>
        <c:lblOffset val="100"/>
        <c:noMultiLvlLbl val="0"/>
      </c:catAx>
      <c:valAx>
        <c:axId val="612347192"/>
        <c:scaling>
          <c:orientation val="minMax"/>
        </c:scaling>
        <c:delete val="0"/>
        <c:axPos val="l"/>
        <c:numFmt formatCode="#,##0" sourceLinked="1"/>
        <c:majorTickMark val="out"/>
        <c:minorTickMark val="none"/>
        <c:tickLblPos val="nextTo"/>
        <c:crossAx val="612344056"/>
        <c:crosses val="autoZero"/>
        <c:crossBetween val="between"/>
      </c:valAx>
      <c:valAx>
        <c:axId val="612347584"/>
        <c:scaling>
          <c:orientation val="minMax"/>
        </c:scaling>
        <c:delete val="0"/>
        <c:axPos val="r"/>
        <c:numFmt formatCode="0%" sourceLinked="0"/>
        <c:majorTickMark val="out"/>
        <c:minorTickMark val="none"/>
        <c:tickLblPos val="nextTo"/>
        <c:crossAx val="612346800"/>
        <c:crosses val="max"/>
        <c:crossBetween val="between"/>
      </c:valAx>
      <c:catAx>
        <c:axId val="612346800"/>
        <c:scaling>
          <c:orientation val="minMax"/>
        </c:scaling>
        <c:delete val="1"/>
        <c:axPos val="b"/>
        <c:numFmt formatCode="General" sourceLinked="1"/>
        <c:majorTickMark val="out"/>
        <c:minorTickMark val="none"/>
        <c:tickLblPos val="nextTo"/>
        <c:crossAx val="612347584"/>
        <c:crosses val="autoZero"/>
        <c:auto val="1"/>
        <c:lblAlgn val="ctr"/>
        <c:lblOffset val="100"/>
        <c:noMultiLvlLbl val="0"/>
      </c:catAx>
    </c:plotArea>
    <c:legend>
      <c:legendPos val="b"/>
      <c:layout>
        <c:manualLayout>
          <c:xMode val="edge"/>
          <c:yMode val="edge"/>
          <c:x val="1.7118736517679596E-2"/>
          <c:y val="0.77336983627387901"/>
          <c:w val="0.98108955233561213"/>
          <c:h val="0.20338471783022119"/>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FB-4177-A97A-E09D34D9CF9D}"/>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xmlns:c16r2="http://schemas.microsoft.com/office/drawing/2015/06/chart">
            <c:ext xmlns:c16="http://schemas.microsoft.com/office/drawing/2014/chart" uri="{C3380CC4-5D6E-409C-BE32-E72D297353CC}">
              <c16:uniqueId val="{00000001-F7FB-4177-A97A-E09D34D9CF9D}"/>
            </c:ext>
          </c:extLst>
        </c:ser>
        <c:dLbls>
          <c:showLegendKey val="0"/>
          <c:showVal val="0"/>
          <c:showCatName val="0"/>
          <c:showSerName val="0"/>
          <c:showPercent val="0"/>
          <c:showBubbleSize val="0"/>
        </c:dLbls>
        <c:marker val="1"/>
        <c:smooth val="0"/>
        <c:axId val="613085304"/>
        <c:axId val="613085696"/>
      </c:lineChart>
      <c:catAx>
        <c:axId val="613085304"/>
        <c:scaling>
          <c:orientation val="minMax"/>
        </c:scaling>
        <c:delete val="0"/>
        <c:axPos val="b"/>
        <c:numFmt formatCode="General" sourceLinked="1"/>
        <c:majorTickMark val="out"/>
        <c:minorTickMark val="none"/>
        <c:tickLblPos val="nextTo"/>
        <c:crossAx val="613085696"/>
        <c:crosses val="autoZero"/>
        <c:auto val="1"/>
        <c:lblAlgn val="ctr"/>
        <c:lblOffset val="100"/>
        <c:noMultiLvlLbl val="0"/>
      </c:catAx>
      <c:valAx>
        <c:axId val="613085696"/>
        <c:scaling>
          <c:orientation val="minMax"/>
        </c:scaling>
        <c:delete val="0"/>
        <c:axPos val="l"/>
        <c:majorGridlines/>
        <c:numFmt formatCode="General" sourceLinked="1"/>
        <c:majorTickMark val="out"/>
        <c:minorTickMark val="none"/>
        <c:tickLblPos val="nextTo"/>
        <c:crossAx val="613085304"/>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Budget in Gel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4435000</c:v>
                </c:pt>
                <c:pt idx="1">
                  <c:v>5545000</c:v>
                </c:pt>
                <c:pt idx="2">
                  <c:v>5659100</c:v>
                </c:pt>
                <c:pt idx="3">
                  <c:v>11347500</c:v>
                </c:pt>
                <c:pt idx="4">
                  <c:v>16531900</c:v>
                </c:pt>
                <c:pt idx="5">
                  <c:v>18016500</c:v>
                </c:pt>
                <c:pt idx="6">
                  <c:v>22400000</c:v>
                </c:pt>
              </c:numCache>
            </c:numRef>
          </c:val>
        </c:ser>
        <c:dLbls>
          <c:showLegendKey val="0"/>
          <c:showVal val="0"/>
          <c:showCatName val="0"/>
          <c:showSerName val="0"/>
          <c:showPercent val="0"/>
          <c:showBubbleSize val="0"/>
        </c:dLbls>
        <c:gapWidth val="75"/>
        <c:overlap val="-25"/>
        <c:axId val="613086480"/>
        <c:axId val="613086872"/>
      </c:barChart>
      <c:catAx>
        <c:axId val="613086480"/>
        <c:scaling>
          <c:orientation val="minMax"/>
        </c:scaling>
        <c:delete val="0"/>
        <c:axPos val="b"/>
        <c:numFmt formatCode="General" sourceLinked="1"/>
        <c:majorTickMark val="none"/>
        <c:minorTickMark val="none"/>
        <c:tickLblPos val="nextTo"/>
        <c:crossAx val="613086872"/>
        <c:crosses val="autoZero"/>
        <c:auto val="1"/>
        <c:lblAlgn val="ctr"/>
        <c:lblOffset val="100"/>
        <c:noMultiLvlLbl val="0"/>
      </c:catAx>
      <c:valAx>
        <c:axId val="613086872"/>
        <c:scaling>
          <c:orientation val="minMax"/>
        </c:scaling>
        <c:delete val="0"/>
        <c:axPos val="l"/>
        <c:majorGridlines/>
        <c:numFmt formatCode="General" sourceLinked="1"/>
        <c:majorTickMark val="none"/>
        <c:minorTickMark val="none"/>
        <c:tickLblPos val="nextTo"/>
        <c:spPr>
          <a:ln w="6350">
            <a:noFill/>
          </a:ln>
        </c:spPr>
        <c:crossAx val="613086480"/>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Immunization coverage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BCG</c:v>
                </c:pt>
                <c:pt idx="1">
                  <c:v>Hep B0</c:v>
                </c:pt>
                <c:pt idx="2">
                  <c:v>Hexa3</c:v>
                </c:pt>
                <c:pt idx="3">
                  <c:v>Polio 1</c:v>
                </c:pt>
                <c:pt idx="4">
                  <c:v>Polio 3</c:v>
                </c:pt>
                <c:pt idx="5">
                  <c:v>Rota 1</c:v>
                </c:pt>
                <c:pt idx="6">
                  <c:v>Rota 2</c:v>
                </c:pt>
                <c:pt idx="7">
                  <c:v>PCV1</c:v>
                </c:pt>
                <c:pt idx="8">
                  <c:v>PCV3</c:v>
                </c:pt>
                <c:pt idx="9">
                  <c:v>MMR 1</c:v>
                </c:pt>
                <c:pt idx="10">
                  <c:v>MMR 2</c:v>
                </c:pt>
                <c:pt idx="11">
                  <c:v>DPT 4</c:v>
                </c:pt>
                <c:pt idx="12">
                  <c:v>OPV 4</c:v>
                </c:pt>
                <c:pt idx="13">
                  <c:v>DT</c:v>
                </c:pt>
                <c:pt idx="14">
                  <c:v>OPV 5</c:v>
                </c:pt>
                <c:pt idx="15">
                  <c:v>Td</c:v>
                </c:pt>
              </c:strCache>
            </c:strRef>
          </c:cat>
          <c:val>
            <c:numRef>
              <c:f>Sheet1!$B$2:$B$17</c:f>
              <c:numCache>
                <c:formatCode>General</c:formatCode>
                <c:ptCount val="16"/>
                <c:pt idx="0">
                  <c:v>96.3</c:v>
                </c:pt>
                <c:pt idx="1">
                  <c:v>64.3</c:v>
                </c:pt>
                <c:pt idx="2">
                  <c:v>91.2</c:v>
                </c:pt>
                <c:pt idx="3">
                  <c:v>97.6</c:v>
                </c:pt>
                <c:pt idx="4">
                  <c:v>91.5</c:v>
                </c:pt>
                <c:pt idx="5">
                  <c:v>81.5</c:v>
                </c:pt>
                <c:pt idx="6">
                  <c:v>75.900000000000006</c:v>
                </c:pt>
                <c:pt idx="7">
                  <c:v>95.5</c:v>
                </c:pt>
                <c:pt idx="8">
                  <c:v>79.7</c:v>
                </c:pt>
                <c:pt idx="9">
                  <c:v>95.5</c:v>
                </c:pt>
                <c:pt idx="10">
                  <c:v>89.9</c:v>
                </c:pt>
                <c:pt idx="11">
                  <c:v>88.9</c:v>
                </c:pt>
                <c:pt idx="12">
                  <c:v>88.6</c:v>
                </c:pt>
                <c:pt idx="13">
                  <c:v>87.8</c:v>
                </c:pt>
                <c:pt idx="14">
                  <c:v>87.2</c:v>
                </c:pt>
                <c:pt idx="15">
                  <c:v>76</c:v>
                </c:pt>
              </c:numCache>
            </c:numRef>
          </c:val>
        </c:ser>
        <c:dLbls>
          <c:showLegendKey val="0"/>
          <c:showVal val="0"/>
          <c:showCatName val="0"/>
          <c:showSerName val="0"/>
          <c:showPercent val="0"/>
          <c:showBubbleSize val="0"/>
        </c:dLbls>
        <c:gapWidth val="75"/>
        <c:overlap val="-25"/>
        <c:axId val="613087656"/>
        <c:axId val="613088048"/>
      </c:barChart>
      <c:catAx>
        <c:axId val="613087656"/>
        <c:scaling>
          <c:orientation val="minMax"/>
        </c:scaling>
        <c:delete val="0"/>
        <c:axPos val="b"/>
        <c:numFmt formatCode="General" sourceLinked="0"/>
        <c:majorTickMark val="none"/>
        <c:minorTickMark val="none"/>
        <c:tickLblPos val="nextTo"/>
        <c:crossAx val="613088048"/>
        <c:crosses val="autoZero"/>
        <c:auto val="1"/>
        <c:lblAlgn val="ctr"/>
        <c:lblOffset val="100"/>
        <c:noMultiLvlLbl val="0"/>
      </c:catAx>
      <c:valAx>
        <c:axId val="613088048"/>
        <c:scaling>
          <c:orientation val="minMax"/>
        </c:scaling>
        <c:delete val="0"/>
        <c:axPos val="l"/>
        <c:majorGridlines/>
        <c:numFmt formatCode="General" sourceLinked="1"/>
        <c:majorTickMark val="none"/>
        <c:minorTickMark val="none"/>
        <c:tickLblPos val="nextTo"/>
        <c:spPr>
          <a:ln w="6350">
            <a:noFill/>
          </a:ln>
        </c:spPr>
        <c:crossAx val="61308765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_(* #,##0_);_(* \(#,##0\);_(* "-"??_);_(@_)</c:formatCode>
                <c:ptCount val="6"/>
                <c:pt idx="0">
                  <c:v>100.2820582498755</c:v>
                </c:pt>
                <c:pt idx="1">
                  <c:v>122.10933055509099</c:v>
                </c:pt>
                <c:pt idx="2">
                  <c:v>185.99933492232941</c:v>
                </c:pt>
                <c:pt idx="3">
                  <c:v>245.73295708952961</c:v>
                </c:pt>
                <c:pt idx="4" formatCode="General">
                  <c:v>275</c:v>
                </c:pt>
                <c:pt idx="5" formatCode="General">
                  <c:v>301</c:v>
                </c:pt>
              </c:numCache>
            </c:numRef>
          </c:val>
          <c:extLst xmlns:c16r2="http://schemas.microsoft.com/office/drawing/2015/06/chart">
            <c:ext xmlns:c16="http://schemas.microsoft.com/office/drawing/2014/chart" uri="{C3380CC4-5D6E-409C-BE32-E72D297353CC}">
              <c16:uniqueId val="{00000000-CB66-4B71-8322-0672CFED007A}"/>
            </c:ext>
          </c:extLst>
        </c:ser>
        <c:dLbls>
          <c:showLegendKey val="0"/>
          <c:showVal val="1"/>
          <c:showCatName val="0"/>
          <c:showSerName val="0"/>
          <c:showPercent val="0"/>
          <c:showBubbleSize val="0"/>
        </c:dLbls>
        <c:gapWidth val="150"/>
        <c:overlap val="-25"/>
        <c:axId val="612340528"/>
        <c:axId val="612342488"/>
      </c:barChart>
      <c:catAx>
        <c:axId val="612340528"/>
        <c:scaling>
          <c:orientation val="minMax"/>
        </c:scaling>
        <c:delete val="0"/>
        <c:axPos val="b"/>
        <c:numFmt formatCode="General" sourceLinked="0"/>
        <c:majorTickMark val="none"/>
        <c:minorTickMark val="none"/>
        <c:tickLblPos val="nextTo"/>
        <c:crossAx val="612342488"/>
        <c:crosses val="autoZero"/>
        <c:auto val="1"/>
        <c:lblAlgn val="ctr"/>
        <c:lblOffset val="100"/>
        <c:noMultiLvlLbl val="0"/>
      </c:catAx>
      <c:valAx>
        <c:axId val="612342488"/>
        <c:scaling>
          <c:orientation val="minMax"/>
        </c:scaling>
        <c:delete val="1"/>
        <c:axPos val="l"/>
        <c:numFmt formatCode="_(* #,##0_);_(* \(#,##0\);_(* &quot;-&quot;??_);_(@_)" sourceLinked="1"/>
        <c:majorTickMark val="none"/>
        <c:minorTickMark val="none"/>
        <c:tickLblPos val="nextTo"/>
        <c:crossAx val="6123405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329E-2"/>
          <c:w val="0.94705174488567989"/>
          <c:h val="0.83168776257916655"/>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xmlns:c16r2="http://schemas.microsoft.com/office/drawing/2015/06/chart">
            <c:ext xmlns:c16="http://schemas.microsoft.com/office/drawing/2014/chart" uri="{C3380CC4-5D6E-409C-BE32-E72D297353CC}">
              <c16:uniqueId val="{00000000-8797-4143-B8BC-FDDF00893F94}"/>
            </c:ext>
          </c:extLst>
        </c:ser>
        <c:dLbls>
          <c:showLegendKey val="0"/>
          <c:showVal val="0"/>
          <c:showCatName val="0"/>
          <c:showSerName val="0"/>
          <c:showPercent val="0"/>
          <c:showBubbleSize val="0"/>
        </c:dLbls>
        <c:gapWidth val="150"/>
        <c:axId val="612340920"/>
        <c:axId val="612346016"/>
      </c:barChart>
      <c:catAx>
        <c:axId val="612340920"/>
        <c:scaling>
          <c:orientation val="minMax"/>
        </c:scaling>
        <c:delete val="0"/>
        <c:axPos val="b"/>
        <c:numFmt formatCode="General" sourceLinked="1"/>
        <c:majorTickMark val="out"/>
        <c:minorTickMark val="none"/>
        <c:tickLblPos val="nextTo"/>
        <c:crossAx val="612346016"/>
        <c:crosses val="autoZero"/>
        <c:auto val="1"/>
        <c:lblAlgn val="ctr"/>
        <c:lblOffset val="100"/>
        <c:noMultiLvlLbl val="0"/>
      </c:catAx>
      <c:valAx>
        <c:axId val="612346016"/>
        <c:scaling>
          <c:orientation val="minMax"/>
        </c:scaling>
        <c:delete val="1"/>
        <c:axPos val="l"/>
        <c:numFmt formatCode="General" sourceLinked="1"/>
        <c:majorTickMark val="out"/>
        <c:minorTickMark val="none"/>
        <c:tickLblPos val="nextTo"/>
        <c:crossAx val="612340920"/>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7E-2"/>
          <c:y val="5.3921589440168852E-2"/>
          <c:w val="0.95203807097521331"/>
          <c:h val="0.747619060096690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2.0000000000000011E-2</c:v>
                </c:pt>
                <c:pt idx="1">
                  <c:v>8.0000000000000043E-2</c:v>
                </c:pt>
                <c:pt idx="2">
                  <c:v>7.0000000000000021E-2</c:v>
                </c:pt>
                <c:pt idx="3">
                  <c:v>9.0000000000000024E-2</c:v>
                </c:pt>
                <c:pt idx="4">
                  <c:v>0.1</c:v>
                </c:pt>
                <c:pt idx="5">
                  <c:v>0.12000000000000002</c:v>
                </c:pt>
                <c:pt idx="6">
                  <c:v>0.13</c:v>
                </c:pt>
                <c:pt idx="7">
                  <c:v>0.14000000000000001</c:v>
                </c:pt>
              </c:numCache>
            </c:numRef>
          </c:val>
          <c:smooth val="0"/>
          <c:extLst xmlns:c16r2="http://schemas.microsoft.com/office/drawing/2015/06/chart">
            <c:ext xmlns:c16="http://schemas.microsoft.com/office/drawing/2014/chart" uri="{C3380CC4-5D6E-409C-BE32-E72D297353CC}">
              <c16:uniqueId val="{00000000-09AF-408C-B1B2-A3BB7B83D53D}"/>
            </c:ext>
          </c:extLst>
        </c:ser>
        <c:dLbls>
          <c:showLegendKey val="0"/>
          <c:showVal val="0"/>
          <c:showCatName val="0"/>
          <c:showSerName val="0"/>
          <c:showPercent val="0"/>
          <c:showBubbleSize val="0"/>
        </c:dLbls>
        <c:marker val="1"/>
        <c:smooth val="0"/>
        <c:axId val="612344448"/>
        <c:axId val="612343664"/>
      </c:lineChart>
      <c:catAx>
        <c:axId val="612344448"/>
        <c:scaling>
          <c:orientation val="minMax"/>
        </c:scaling>
        <c:delete val="0"/>
        <c:axPos val="b"/>
        <c:numFmt formatCode="General" sourceLinked="1"/>
        <c:majorTickMark val="out"/>
        <c:minorTickMark val="none"/>
        <c:tickLblPos val="nextTo"/>
        <c:crossAx val="612343664"/>
        <c:crosses val="autoZero"/>
        <c:auto val="1"/>
        <c:lblAlgn val="ctr"/>
        <c:lblOffset val="100"/>
        <c:noMultiLvlLbl val="0"/>
      </c:catAx>
      <c:valAx>
        <c:axId val="612343664"/>
        <c:scaling>
          <c:orientation val="minMax"/>
        </c:scaling>
        <c:delete val="1"/>
        <c:axPos val="l"/>
        <c:numFmt formatCode="General" sourceLinked="1"/>
        <c:majorTickMark val="out"/>
        <c:minorTickMark val="none"/>
        <c:tickLblPos val="nextTo"/>
        <c:crossAx val="612344448"/>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634-468F-869B-DC8E70020CFA}"/>
                </c:ext>
                <c:ext xmlns:c15="http://schemas.microsoft.com/office/drawing/2012/chart" uri="{CE6537A1-D6FC-4f65-9D91-7224C49458BB}"/>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634-468F-869B-DC8E70020CFA}"/>
                </c:ext>
                <c:ext xmlns:c15="http://schemas.microsoft.com/office/drawing/2012/chart" uri="{CE6537A1-D6FC-4f65-9D91-7224C49458BB}"/>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634-468F-869B-DC8E70020CFA}"/>
                </c:ext>
                <c:ext xmlns:c15="http://schemas.microsoft.com/office/drawing/2012/chart" uri="{CE6537A1-D6FC-4f65-9D91-7224C49458BB}"/>
              </c:extLst>
            </c:dLbl>
            <c:dLbl>
              <c:idx val="3"/>
              <c:tx>
                <c:rich>
                  <a:bodyPr/>
                  <a:lstStyle/>
                  <a:p>
                    <a:r>
                      <a:rPr lang="en-US"/>
                      <a:t>677 mill GEL</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634-468F-869B-DC8E70020CFA}"/>
                </c:ext>
                <c:ext xmlns:c15="http://schemas.microsoft.com/office/drawing/2012/chart" uri="{CE6537A1-D6FC-4f65-9D91-7224C49458BB}"/>
              </c:extLst>
            </c:dLbl>
            <c:dLbl>
              <c:idx val="4"/>
              <c:tx>
                <c:rich>
                  <a:bodyPr/>
                  <a:lstStyle/>
                  <a:p>
                    <a:r>
                      <a:rPr lang="en-US"/>
                      <a:t>710 mill GEL</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634-468F-869B-DC8E70020CFA}"/>
                </c:ext>
                <c:ext xmlns:c15="http://schemas.microsoft.com/office/drawing/2012/chart" uri="{CE6537A1-D6FC-4f65-9D91-7224C49458BB}"/>
              </c:extLst>
            </c:dLbl>
            <c:dLbl>
              <c:idx val="5"/>
              <c:tx>
                <c:rich>
                  <a:bodyPr/>
                  <a:lstStyle/>
                  <a:p>
                    <a:r>
                      <a:rPr lang="en-US"/>
                      <a:t>760 mill GEL</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634-468F-869B-DC8E70020CFA}"/>
                </c:ex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69.065000000000012</c:v>
                </c:pt>
                <c:pt idx="1">
                  <c:v>335.60199999999969</c:v>
                </c:pt>
                <c:pt idx="2">
                  <c:v>570.67300000000103</c:v>
                </c:pt>
                <c:pt idx="3">
                  <c:v>677.39300000000003</c:v>
                </c:pt>
                <c:pt idx="4">
                  <c:v>709.69400000000053</c:v>
                </c:pt>
                <c:pt idx="5">
                  <c:v>760</c:v>
                </c:pt>
              </c:numCache>
            </c:numRef>
          </c:val>
          <c:extLst xmlns:c16r2="http://schemas.microsoft.com/office/drawing/2015/06/chart">
            <c:ext xmlns:c16="http://schemas.microsoft.com/office/drawing/2014/chart" uri="{C3380CC4-5D6E-409C-BE32-E72D297353CC}">
              <c16:uniqueId val="{00000006-6634-468F-869B-DC8E70020CFA}"/>
            </c:ext>
          </c:extLst>
        </c:ser>
        <c:dLbls>
          <c:showLegendKey val="0"/>
          <c:showVal val="0"/>
          <c:showCatName val="0"/>
          <c:showSerName val="0"/>
          <c:showPercent val="0"/>
          <c:showBubbleSize val="0"/>
        </c:dLbls>
        <c:gapWidth val="150"/>
        <c:axId val="612344840"/>
        <c:axId val="612281208"/>
      </c:barChart>
      <c:catAx>
        <c:axId val="612344840"/>
        <c:scaling>
          <c:orientation val="minMax"/>
        </c:scaling>
        <c:delete val="0"/>
        <c:axPos val="b"/>
        <c:numFmt formatCode="General" sourceLinked="0"/>
        <c:majorTickMark val="out"/>
        <c:minorTickMark val="none"/>
        <c:tickLblPos val="nextTo"/>
        <c:crossAx val="612281208"/>
        <c:crosses val="autoZero"/>
        <c:auto val="1"/>
        <c:lblAlgn val="ctr"/>
        <c:lblOffset val="100"/>
        <c:noMultiLvlLbl val="0"/>
      </c:catAx>
      <c:valAx>
        <c:axId val="612281208"/>
        <c:scaling>
          <c:orientation val="minMax"/>
        </c:scaling>
        <c:delete val="1"/>
        <c:axPos val="l"/>
        <c:numFmt formatCode="#,##0" sourceLinked="1"/>
        <c:majorTickMark val="out"/>
        <c:minorTickMark val="none"/>
        <c:tickLblPos val="nextTo"/>
        <c:crossAx val="61234484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367E-2"/>
          <c:w val="0.91945410469524647"/>
          <c:h val="0.85653105861767365"/>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xmlns:c16r2="http://schemas.microsoft.com/office/drawing/2015/06/chart">
            <c:ext xmlns:c16="http://schemas.microsoft.com/office/drawing/2014/chart" uri="{C3380CC4-5D6E-409C-BE32-E72D297353CC}">
              <c16:uniqueId val="{00000000-530D-4499-BC81-89F7670402ED}"/>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xmlns:c16r2="http://schemas.microsoft.com/office/drawing/2015/06/chart">
            <c:ext xmlns:c16="http://schemas.microsoft.com/office/drawing/2014/chart" uri="{C3380CC4-5D6E-409C-BE32-E72D297353CC}">
              <c16:uniqueId val="{00000001-530D-4499-BC81-89F7670402ED}"/>
            </c:ext>
          </c:extLst>
        </c:ser>
        <c:dLbls>
          <c:showLegendKey val="0"/>
          <c:showVal val="0"/>
          <c:showCatName val="0"/>
          <c:showSerName val="0"/>
          <c:showPercent val="0"/>
          <c:showBubbleSize val="0"/>
        </c:dLbls>
        <c:marker val="1"/>
        <c:smooth val="0"/>
        <c:axId val="612281992"/>
        <c:axId val="612281600"/>
      </c:lineChart>
      <c:catAx>
        <c:axId val="612281992"/>
        <c:scaling>
          <c:orientation val="minMax"/>
        </c:scaling>
        <c:delete val="0"/>
        <c:axPos val="b"/>
        <c:numFmt formatCode="General" sourceLinked="1"/>
        <c:majorTickMark val="out"/>
        <c:minorTickMark val="none"/>
        <c:tickLblPos val="nextTo"/>
        <c:crossAx val="612281600"/>
        <c:crosses val="autoZero"/>
        <c:auto val="1"/>
        <c:lblAlgn val="ctr"/>
        <c:lblOffset val="100"/>
        <c:noMultiLvlLbl val="0"/>
      </c:catAx>
      <c:valAx>
        <c:axId val="612281600"/>
        <c:scaling>
          <c:orientation val="minMax"/>
        </c:scaling>
        <c:delete val="0"/>
        <c:axPos val="l"/>
        <c:numFmt formatCode="General" sourceLinked="1"/>
        <c:majorTickMark val="out"/>
        <c:minorTickMark val="none"/>
        <c:tickLblPos val="nextTo"/>
        <c:crossAx val="612281992"/>
        <c:crosses val="autoZero"/>
        <c:crossBetween val="between"/>
      </c:valAx>
    </c:plotArea>
    <c:legend>
      <c:legendPos val="r"/>
      <c:layout>
        <c:manualLayout>
          <c:xMode val="edge"/>
          <c:yMode val="edge"/>
          <c:x val="0.30368055555555606"/>
          <c:y val="0.58300431196100388"/>
          <c:w val="0.2287268518518519"/>
          <c:h val="0.16247002143599976"/>
        </c:manualLayout>
      </c:layout>
      <c:overlay val="0"/>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8C8D-4D5A-8419-77FF8D1BCB9E}"/>
            </c:ext>
          </c:extLst>
        </c:ser>
        <c:dLbls>
          <c:showLegendKey val="0"/>
          <c:showVal val="0"/>
          <c:showCatName val="0"/>
          <c:showSerName val="0"/>
          <c:showPercent val="0"/>
          <c:showBubbleSize val="0"/>
        </c:dLbls>
        <c:gapWidth val="51"/>
        <c:axId val="612279640"/>
        <c:axId val="612280424"/>
      </c:barChart>
      <c:catAx>
        <c:axId val="612279640"/>
        <c:scaling>
          <c:orientation val="minMax"/>
        </c:scaling>
        <c:delete val="0"/>
        <c:axPos val="b"/>
        <c:numFmt formatCode="General" sourceLinked="1"/>
        <c:majorTickMark val="out"/>
        <c:minorTickMark val="none"/>
        <c:tickLblPos val="nextTo"/>
        <c:crossAx val="612280424"/>
        <c:crosses val="autoZero"/>
        <c:auto val="1"/>
        <c:lblAlgn val="ctr"/>
        <c:lblOffset val="100"/>
        <c:noMultiLvlLbl val="0"/>
      </c:catAx>
      <c:valAx>
        <c:axId val="612280424"/>
        <c:scaling>
          <c:orientation val="minMax"/>
        </c:scaling>
        <c:delete val="0"/>
        <c:axPos val="l"/>
        <c:numFmt formatCode="General" sourceLinked="1"/>
        <c:majorTickMark val="out"/>
        <c:minorTickMark val="none"/>
        <c:tickLblPos val="nextTo"/>
        <c:crossAx val="612279640"/>
        <c:crosses val="autoZero"/>
        <c:crossBetween val="between"/>
      </c:valAx>
      <c:spPr>
        <a:noFill/>
        <a:ln w="25400">
          <a:noFill/>
        </a:ln>
      </c:spPr>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1730-408E-8C6B-3266CF8E5883}"/>
            </c:ext>
          </c:extLst>
        </c:ser>
        <c:dLbls>
          <c:showLegendKey val="0"/>
          <c:showVal val="1"/>
          <c:showCatName val="0"/>
          <c:showSerName val="0"/>
          <c:showPercent val="0"/>
          <c:showBubbleSize val="0"/>
        </c:dLbls>
        <c:gapWidth val="65"/>
        <c:axId val="612278856"/>
        <c:axId val="425854024"/>
      </c:barChart>
      <c:catAx>
        <c:axId val="612278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425854024"/>
        <c:crosses val="autoZero"/>
        <c:auto val="1"/>
        <c:lblAlgn val="ctr"/>
        <c:lblOffset val="100"/>
        <c:noMultiLvlLbl val="0"/>
      </c:catAx>
      <c:valAx>
        <c:axId val="4258540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612278856"/>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rtl="0">
              <a:defRPr/>
            </a:pPr>
            <a:r>
              <a:rPr lang="en-US"/>
              <a:t>Number of cases carried out from 1 January 2012 to 31 December 2017 as part of the Mental Health state program's inpatient care component</a:t>
            </a:r>
          </a:p>
        </c:rich>
      </c:tx>
      <c:layout>
        <c:manualLayout>
          <c:xMode val="edge"/>
          <c:yMode val="edge"/>
          <c:x val="0.10384711286089238"/>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E2AE-4D30-AAF3-C302C5CF2A30}"/>
            </c:ext>
          </c:extLst>
        </c:ser>
        <c:dLbls>
          <c:showLegendKey val="0"/>
          <c:showVal val="1"/>
          <c:showCatName val="0"/>
          <c:showSerName val="0"/>
          <c:showPercent val="0"/>
          <c:showBubbleSize val="0"/>
        </c:dLbls>
        <c:gapWidth val="65"/>
        <c:axId val="613084128"/>
        <c:axId val="613084520"/>
      </c:barChart>
      <c:catAx>
        <c:axId val="613084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613084520"/>
        <c:crosses val="autoZero"/>
        <c:auto val="1"/>
        <c:lblAlgn val="ctr"/>
        <c:lblOffset val="100"/>
        <c:noMultiLvlLbl val="0"/>
      </c:catAx>
      <c:valAx>
        <c:axId val="613084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13084128"/>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sz="8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E81F-00CC-4648-9BD4-FAB49F20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Win7x64</cp:lastModifiedBy>
  <cp:revision>2</cp:revision>
  <dcterms:created xsi:type="dcterms:W3CDTF">2019-02-28T18:14:00Z</dcterms:created>
  <dcterms:modified xsi:type="dcterms:W3CDTF">2019-02-28T18:14:00Z</dcterms:modified>
</cp:coreProperties>
</file>